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4D" w:rsidRDefault="006635BD" w:rsidP="00FD434D">
      <w:pPr>
        <w:pStyle w:val="Header"/>
        <w:tabs>
          <w:tab w:val="clear" w:pos="4680"/>
          <w:tab w:val="clear" w:pos="9360"/>
          <w:tab w:val="left" w:pos="3581"/>
        </w:tabs>
        <w:jc w:val="center"/>
        <w:rPr>
          <w:rFonts w:ascii="Arial" w:hAnsi="Arial" w:cs="Arial"/>
          <w:i/>
          <w:sz w:val="12"/>
          <w:szCs w:val="12"/>
        </w:rPr>
      </w:pPr>
      <w:r>
        <w:rPr>
          <w:rFonts w:ascii="Arial" w:hAnsi="Arial" w:cs="Arial"/>
          <w:i/>
          <w:noProof/>
          <w:sz w:val="12"/>
          <w:szCs w:val="12"/>
          <w:lang w:val="en-PH" w:eastAsia="en-PH"/>
        </w:rPr>
        <w:drawing>
          <wp:anchor distT="0" distB="0" distL="114300" distR="114300" simplePos="0" relativeHeight="251659264" behindDoc="1" locked="0" layoutInCell="1" allowOverlap="1">
            <wp:simplePos x="0" y="0"/>
            <wp:positionH relativeFrom="column">
              <wp:posOffset>1441450</wp:posOffset>
            </wp:positionH>
            <wp:positionV relativeFrom="paragraph">
              <wp:posOffset>-536575</wp:posOffset>
            </wp:positionV>
            <wp:extent cx="2717800" cy="65405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17800" cy="654050"/>
                    </a:xfrm>
                    <a:prstGeom prst="rect">
                      <a:avLst/>
                    </a:prstGeom>
                  </pic:spPr>
                </pic:pic>
              </a:graphicData>
            </a:graphic>
          </wp:anchor>
        </w:drawing>
      </w:r>
    </w:p>
    <w:p w:rsidR="00FD434D" w:rsidRDefault="00FD434D" w:rsidP="00FD434D">
      <w:pPr>
        <w:pStyle w:val="Header"/>
        <w:tabs>
          <w:tab w:val="clear" w:pos="4680"/>
          <w:tab w:val="clear" w:pos="9360"/>
          <w:tab w:val="left" w:pos="3581"/>
        </w:tabs>
        <w:jc w:val="center"/>
        <w:rPr>
          <w:rFonts w:ascii="Arial" w:hAnsi="Arial" w:cs="Arial"/>
          <w:i/>
          <w:sz w:val="12"/>
          <w:szCs w:val="12"/>
        </w:rPr>
      </w:pP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Port Area, Dapitan City Tel. No. (065) 213-6594 to 95</w:t>
      </w: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591284" w:rsidRDefault="00591284" w:rsidP="000B3E3B">
      <w:pPr>
        <w:pStyle w:val="NoSpacing"/>
        <w:jc w:val="center"/>
        <w:rPr>
          <w:rFonts w:ascii="Arial" w:hAnsi="Arial" w:cs="Arial"/>
          <w:b/>
          <w:szCs w:val="24"/>
        </w:rPr>
      </w:pPr>
    </w:p>
    <w:p w:rsidR="00565579" w:rsidRPr="00591284" w:rsidRDefault="00591284" w:rsidP="000B3E3B">
      <w:pPr>
        <w:pStyle w:val="NoSpacing"/>
        <w:jc w:val="center"/>
        <w:rPr>
          <w:rFonts w:ascii="Arial" w:hAnsi="Arial" w:cs="Arial"/>
          <w:b/>
          <w:sz w:val="24"/>
          <w:szCs w:val="24"/>
        </w:rPr>
      </w:pPr>
      <w:r w:rsidRPr="00591284">
        <w:rPr>
          <w:rFonts w:ascii="Arial" w:hAnsi="Arial" w:cs="Arial"/>
          <w:b/>
          <w:sz w:val="24"/>
          <w:szCs w:val="24"/>
        </w:rPr>
        <w:t>INVITATION TO BID</w:t>
      </w:r>
    </w:p>
    <w:p w:rsidR="00565579" w:rsidRDefault="00565579" w:rsidP="000B3E3B">
      <w:pPr>
        <w:pStyle w:val="NoSpacing"/>
        <w:jc w:val="center"/>
        <w:rPr>
          <w:rFonts w:ascii="Arial" w:hAnsi="Arial" w:cs="Arial"/>
          <w:b/>
          <w:szCs w:val="24"/>
        </w:rPr>
      </w:pPr>
    </w:p>
    <w:p w:rsidR="000B3E3B" w:rsidRPr="00C102B8" w:rsidRDefault="00223F58" w:rsidP="000B3E3B">
      <w:pPr>
        <w:pStyle w:val="NoSpacing"/>
        <w:jc w:val="center"/>
        <w:rPr>
          <w:rFonts w:ascii="Arial" w:hAnsi="Arial" w:cs="Arial"/>
          <w:b/>
          <w:szCs w:val="24"/>
        </w:rPr>
      </w:pPr>
      <w:r>
        <w:rPr>
          <w:rFonts w:ascii="Arial" w:hAnsi="Arial" w:cs="Arial"/>
          <w:b/>
          <w:szCs w:val="24"/>
        </w:rPr>
        <w:t xml:space="preserve">FOR THE </w:t>
      </w:r>
      <w:r w:rsidR="00DD416B">
        <w:rPr>
          <w:rFonts w:ascii="Arial" w:hAnsi="Arial" w:cs="Arial"/>
          <w:b/>
          <w:szCs w:val="24"/>
        </w:rPr>
        <w:t>REPAIR OF TMO OFFICE BUILDING AND CHB FENCE, PORT OF LAMAO, LILOY,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Philippine Ports Authority, PMO- Zamboanga</w:t>
      </w:r>
      <w:r w:rsidR="007D325B">
        <w:rPr>
          <w:rFonts w:ascii="Arial" w:hAnsi="Arial" w:cs="Arial"/>
          <w:sz w:val="20"/>
          <w:szCs w:val="20"/>
        </w:rPr>
        <w:t xml:space="preserve"> </w:t>
      </w:r>
      <w:r w:rsidRPr="00C102B8">
        <w:rPr>
          <w:rFonts w:ascii="Arial" w:hAnsi="Arial" w:cs="Arial"/>
          <w:sz w:val="20"/>
          <w:szCs w:val="20"/>
        </w:rPr>
        <w:t>del Norte, through its bids and Awards Committee for Infrastructure Projects intends to apply the sum of</w:t>
      </w:r>
      <w:r w:rsidR="00096A1C">
        <w:rPr>
          <w:rFonts w:ascii="Arial" w:hAnsi="Arial" w:cs="Arial"/>
          <w:sz w:val="20"/>
          <w:szCs w:val="20"/>
        </w:rPr>
        <w:t xml:space="preserve"> Five Million Five Hundred Forty Six Thousand Six Hundred Ninety Five Pesos and 39/100</w:t>
      </w:r>
      <w:r w:rsidRPr="00C102B8">
        <w:rPr>
          <w:rFonts w:ascii="Arial" w:hAnsi="Arial" w:cs="Arial"/>
          <w:sz w:val="20"/>
          <w:szCs w:val="20"/>
        </w:rPr>
        <w:t xml:space="preserve"> </w:t>
      </w:r>
      <w:r w:rsidR="00096A1C">
        <w:rPr>
          <w:rFonts w:ascii="Arial" w:hAnsi="Arial" w:cs="Arial"/>
          <w:sz w:val="20"/>
          <w:szCs w:val="20"/>
        </w:rPr>
        <w:t>(</w:t>
      </w:r>
      <w:r w:rsidRPr="00C102B8">
        <w:rPr>
          <w:rFonts w:ascii="Arial" w:hAnsi="Arial" w:cs="Arial"/>
          <w:b/>
          <w:sz w:val="20"/>
          <w:szCs w:val="20"/>
        </w:rPr>
        <w:t xml:space="preserve">Php </w:t>
      </w:r>
      <w:r w:rsidR="00DD416B">
        <w:rPr>
          <w:rFonts w:ascii="Arial" w:hAnsi="Arial" w:cs="Arial"/>
          <w:b/>
          <w:sz w:val="20"/>
          <w:szCs w:val="20"/>
        </w:rPr>
        <w:t>5,546,695.39</w:t>
      </w:r>
      <w:r w:rsidR="00096A1C">
        <w:rPr>
          <w:rFonts w:ascii="Arial" w:hAnsi="Arial" w:cs="Arial"/>
          <w:b/>
          <w:sz w:val="20"/>
          <w:szCs w:val="20"/>
        </w:rPr>
        <w:t>)</w:t>
      </w:r>
      <w:r w:rsidRPr="00C102B8">
        <w:rPr>
          <w:rFonts w:ascii="Arial" w:hAnsi="Arial" w:cs="Arial"/>
          <w:sz w:val="20"/>
          <w:szCs w:val="20"/>
        </w:rPr>
        <w:t xml:space="preserve"> being the Approved Budget for the Contract (ABC) to payment under the contract for the </w:t>
      </w:r>
      <w:r w:rsidR="00DD416B">
        <w:rPr>
          <w:rFonts w:ascii="Arial" w:hAnsi="Arial" w:cs="Arial"/>
          <w:b/>
          <w:szCs w:val="24"/>
        </w:rPr>
        <w:t>REPAIR OF TMO OFFICE BUILDING AND CHB FENCE, PORT OF LAMAO, LILOY, ZAMBOANGA DEL NORTE</w:t>
      </w:r>
      <w:r w:rsidR="00105BAA">
        <w:rPr>
          <w:rFonts w:ascii="Arial" w:hAnsi="Arial" w:cs="Arial"/>
          <w:b/>
          <w:szCs w:val="24"/>
        </w:rPr>
        <w:t>.</w:t>
      </w:r>
      <w:r w:rsidR="00223F58">
        <w:rPr>
          <w:rFonts w:ascii="Arial" w:hAnsi="Arial" w:cs="Arial"/>
          <w:b/>
          <w:szCs w:val="24"/>
        </w:rPr>
        <w:t>.</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7D325B" w:rsidRPr="00C102B8" w:rsidRDefault="007D325B" w:rsidP="000B3E3B">
      <w:pPr>
        <w:pStyle w:val="NoSpacing"/>
        <w:jc w:val="both"/>
        <w:rPr>
          <w:rFonts w:ascii="Arial" w:hAnsi="Arial" w:cs="Arial"/>
          <w:sz w:val="20"/>
          <w:szCs w:val="20"/>
        </w:rPr>
      </w:pPr>
    </w:p>
    <w:p w:rsidR="000B3E3B" w:rsidRPr="00F65989" w:rsidRDefault="000B3E3B" w:rsidP="000B3E3B">
      <w:pPr>
        <w:pStyle w:val="NoSpacing"/>
        <w:jc w:val="both"/>
        <w:rPr>
          <w:rFonts w:ascii="Arial" w:hAnsi="Arial" w:cs="Arial"/>
          <w:sz w:val="18"/>
          <w:szCs w:val="20"/>
        </w:rPr>
      </w:pPr>
    </w:p>
    <w:p w:rsidR="000B3E3B" w:rsidRDefault="000B3E3B" w:rsidP="007F43E6">
      <w:pPr>
        <w:pStyle w:val="NoSpacing"/>
        <w:numPr>
          <w:ilvl w:val="0"/>
          <w:numId w:val="3"/>
        </w:numPr>
        <w:jc w:val="both"/>
        <w:rPr>
          <w:rFonts w:ascii="Arial" w:hAnsi="Arial" w:cs="Arial"/>
          <w:b/>
          <w:sz w:val="18"/>
          <w:szCs w:val="20"/>
        </w:rPr>
      </w:pPr>
      <w:r w:rsidRPr="00F65989">
        <w:rPr>
          <w:rFonts w:ascii="Arial" w:hAnsi="Arial" w:cs="Arial"/>
          <w:b/>
          <w:sz w:val="18"/>
          <w:szCs w:val="20"/>
        </w:rPr>
        <w:t>Scope of Work:</w:t>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00DD416B">
        <w:rPr>
          <w:rFonts w:ascii="Arial" w:hAnsi="Arial" w:cs="Arial"/>
          <w:b/>
          <w:sz w:val="18"/>
          <w:szCs w:val="20"/>
        </w:rPr>
        <w:t>UNIT</w:t>
      </w:r>
      <w:r w:rsidR="00DD416B">
        <w:rPr>
          <w:rFonts w:ascii="Arial" w:hAnsi="Arial" w:cs="Arial"/>
          <w:b/>
          <w:sz w:val="18"/>
          <w:szCs w:val="20"/>
        </w:rPr>
        <w:tab/>
      </w:r>
      <w:r w:rsidR="00DD416B">
        <w:rPr>
          <w:rFonts w:ascii="Arial" w:hAnsi="Arial" w:cs="Arial"/>
          <w:b/>
          <w:sz w:val="18"/>
          <w:szCs w:val="20"/>
        </w:rPr>
        <w:tab/>
      </w:r>
      <w:r w:rsidR="00DD416B">
        <w:rPr>
          <w:rFonts w:ascii="Arial" w:hAnsi="Arial" w:cs="Arial"/>
          <w:b/>
          <w:sz w:val="18"/>
          <w:szCs w:val="20"/>
        </w:rPr>
        <w:tab/>
      </w:r>
      <w:r w:rsidR="007F43E6" w:rsidRPr="00F65989">
        <w:rPr>
          <w:rFonts w:ascii="Arial" w:hAnsi="Arial" w:cs="Arial"/>
          <w:b/>
          <w:sz w:val="18"/>
          <w:szCs w:val="20"/>
        </w:rPr>
        <w:t>Quantity</w:t>
      </w:r>
    </w:p>
    <w:p w:rsidR="00DD416B" w:rsidRDefault="00DD416B" w:rsidP="00DD416B">
      <w:pPr>
        <w:pStyle w:val="NoSpacing"/>
        <w:jc w:val="both"/>
        <w:rPr>
          <w:rFonts w:ascii="Arial" w:hAnsi="Arial" w:cs="Arial"/>
          <w:b/>
          <w:sz w:val="18"/>
          <w:szCs w:val="20"/>
        </w:rPr>
      </w:pP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w:t>
      </w:r>
      <w:r>
        <w:rPr>
          <w:rFonts w:ascii="Arial" w:hAnsi="Arial" w:cs="Arial"/>
          <w:spacing w:val="-2"/>
        </w:rPr>
        <w:tab/>
        <w:t>GENERAL EXPENSES</w:t>
      </w:r>
    </w:p>
    <w:p w:rsidR="00DD416B" w:rsidRDefault="00DD416B" w:rsidP="00DD416B">
      <w:pPr>
        <w:spacing w:after="0" w:line="240" w:lineRule="auto"/>
        <w:ind w:left="720"/>
        <w:rPr>
          <w:rFonts w:ascii="Arial" w:hAnsi="Arial" w:cs="Arial"/>
          <w:spacing w:val="-2"/>
        </w:rPr>
      </w:pPr>
      <w:r>
        <w:rPr>
          <w:rFonts w:ascii="Arial" w:hAnsi="Arial" w:cs="Arial"/>
          <w:spacing w:val="-2"/>
        </w:rPr>
        <w:tab/>
        <w:t>1.1. Mobilization/Demobilization</w:t>
      </w:r>
      <w:r>
        <w:rPr>
          <w:rFonts w:ascii="Arial" w:hAnsi="Arial" w:cs="Arial"/>
          <w:spacing w:val="-2"/>
        </w:rPr>
        <w:tab/>
      </w:r>
      <w:r>
        <w:rPr>
          <w:rFonts w:ascii="Arial" w:hAnsi="Arial" w:cs="Arial"/>
          <w:spacing w:val="-2"/>
        </w:rPr>
        <w:tab/>
      </w:r>
      <w:r>
        <w:rPr>
          <w:rFonts w:ascii="Arial" w:hAnsi="Arial" w:cs="Arial"/>
          <w:spacing w:val="-2"/>
        </w:rPr>
        <w:tab/>
        <w:t>lot</w:t>
      </w:r>
      <w:r>
        <w:rPr>
          <w:rFonts w:ascii="Arial" w:hAnsi="Arial" w:cs="Arial"/>
          <w:spacing w:val="-2"/>
        </w:rPr>
        <w:tab/>
        <w:t>1.00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II.</w:t>
      </w:r>
      <w:r>
        <w:rPr>
          <w:rFonts w:ascii="Arial" w:hAnsi="Arial" w:cs="Arial"/>
          <w:spacing w:val="-2"/>
        </w:rPr>
        <w:tab/>
        <w:t>TMO BUILDING</w:t>
      </w:r>
    </w:p>
    <w:p w:rsidR="00DD416B" w:rsidRDefault="00DD416B" w:rsidP="00DD416B">
      <w:pPr>
        <w:spacing w:after="0" w:line="240" w:lineRule="auto"/>
        <w:ind w:left="720"/>
        <w:rPr>
          <w:rFonts w:ascii="Arial" w:hAnsi="Arial" w:cs="Arial"/>
          <w:spacing w:val="-2"/>
        </w:rPr>
      </w:pPr>
      <w:r>
        <w:rPr>
          <w:rFonts w:ascii="Arial" w:hAnsi="Arial" w:cs="Arial"/>
          <w:spacing w:val="-2"/>
        </w:rPr>
        <w:tab/>
        <w:t>2.1. Demolition</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234.00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w:t>
      </w:r>
      <w:r>
        <w:rPr>
          <w:rFonts w:ascii="Arial" w:hAnsi="Arial" w:cs="Arial"/>
          <w:spacing w:val="-2"/>
        </w:rPr>
        <w:tab/>
        <w:t>2.2. Excavation Works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cu.m.</w:t>
      </w:r>
      <w:r>
        <w:rPr>
          <w:rFonts w:ascii="Arial" w:hAnsi="Arial" w:cs="Arial"/>
          <w:spacing w:val="-2"/>
        </w:rPr>
        <w:tab/>
        <w:t>178.00</w:t>
      </w:r>
    </w:p>
    <w:p w:rsidR="00DD416B" w:rsidRDefault="00DD416B" w:rsidP="00DD416B">
      <w:pPr>
        <w:spacing w:after="0" w:line="240" w:lineRule="auto"/>
        <w:ind w:left="720"/>
        <w:rPr>
          <w:rFonts w:ascii="Arial" w:hAnsi="Arial" w:cs="Arial"/>
          <w:spacing w:val="-2"/>
        </w:rPr>
      </w:pPr>
      <w:r>
        <w:rPr>
          <w:rFonts w:ascii="Arial" w:hAnsi="Arial" w:cs="Arial"/>
          <w:spacing w:val="-2"/>
        </w:rPr>
        <w:tab/>
        <w:t>2.3. Supply &amp; Install Reinforcing Steel Bars</w:t>
      </w:r>
      <w:r>
        <w:rPr>
          <w:rFonts w:ascii="Arial" w:hAnsi="Arial" w:cs="Arial"/>
          <w:spacing w:val="-2"/>
        </w:rPr>
        <w:tab/>
      </w:r>
      <w:r>
        <w:rPr>
          <w:rFonts w:ascii="Arial" w:hAnsi="Arial" w:cs="Arial"/>
          <w:spacing w:val="-2"/>
        </w:rPr>
        <w:tab/>
        <w:t>kg.</w:t>
      </w:r>
      <w:r>
        <w:rPr>
          <w:rFonts w:ascii="Arial" w:hAnsi="Arial" w:cs="Arial"/>
          <w:spacing w:val="-2"/>
        </w:rPr>
        <w:tab/>
      </w:r>
      <w:r w:rsidR="00CB1299">
        <w:rPr>
          <w:rFonts w:ascii="Arial" w:hAnsi="Arial" w:cs="Arial"/>
          <w:spacing w:val="-2"/>
        </w:rPr>
        <w:t>2,924.00</w:t>
      </w:r>
    </w:p>
    <w:p w:rsidR="00DD416B" w:rsidRDefault="00DD416B" w:rsidP="00DD416B">
      <w:pPr>
        <w:spacing w:after="0" w:line="240" w:lineRule="auto"/>
        <w:ind w:left="720"/>
        <w:rPr>
          <w:rFonts w:ascii="Arial" w:hAnsi="Arial" w:cs="Arial"/>
          <w:spacing w:val="-2"/>
        </w:rPr>
      </w:pPr>
      <w:r>
        <w:rPr>
          <w:rFonts w:ascii="Arial" w:hAnsi="Arial" w:cs="Arial"/>
          <w:spacing w:val="-2"/>
        </w:rPr>
        <w:tab/>
        <w:t>2.4. Supply &amp; Place Conc</w:t>
      </w:r>
      <w:r w:rsidR="00CB1299">
        <w:rPr>
          <w:rFonts w:ascii="Arial" w:hAnsi="Arial" w:cs="Arial"/>
          <w:spacing w:val="-2"/>
        </w:rPr>
        <w:t>rete (3,500 psi)</w:t>
      </w:r>
      <w:r w:rsidR="00CB1299">
        <w:rPr>
          <w:rFonts w:ascii="Arial" w:hAnsi="Arial" w:cs="Arial"/>
          <w:spacing w:val="-2"/>
        </w:rPr>
        <w:tab/>
      </w:r>
      <w:r w:rsidR="00CB1299">
        <w:rPr>
          <w:rFonts w:ascii="Arial" w:hAnsi="Arial" w:cs="Arial"/>
          <w:spacing w:val="-2"/>
        </w:rPr>
        <w:tab/>
        <w:t>cu.m.</w:t>
      </w:r>
      <w:r w:rsidR="00CB1299">
        <w:rPr>
          <w:rFonts w:ascii="Arial" w:hAnsi="Arial" w:cs="Arial"/>
          <w:spacing w:val="-2"/>
        </w:rPr>
        <w:tab/>
        <w:t>32</w:t>
      </w:r>
      <w:r>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ab/>
        <w:t>2.5. Masonry Works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176.00</w:t>
      </w:r>
    </w:p>
    <w:p w:rsidR="00DD416B" w:rsidRDefault="00DD416B" w:rsidP="00DD416B">
      <w:pPr>
        <w:spacing w:after="0" w:line="240" w:lineRule="auto"/>
        <w:ind w:left="720"/>
        <w:rPr>
          <w:rFonts w:ascii="Arial" w:hAnsi="Arial" w:cs="Arial"/>
          <w:spacing w:val="-2"/>
        </w:rPr>
      </w:pPr>
      <w:r>
        <w:rPr>
          <w:rFonts w:ascii="Arial" w:hAnsi="Arial" w:cs="Arial"/>
          <w:spacing w:val="-2"/>
        </w:rPr>
        <w:tab/>
        <w:t>2.6. Supply &amp; Install Windows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pcs.</w:t>
      </w:r>
      <w:r>
        <w:rPr>
          <w:rFonts w:ascii="Arial" w:hAnsi="Arial" w:cs="Arial"/>
          <w:spacing w:val="-2"/>
        </w:rPr>
        <w:tab/>
        <w:t>10.00</w:t>
      </w:r>
    </w:p>
    <w:p w:rsidR="00DD416B" w:rsidRDefault="00DD416B" w:rsidP="00DD416B">
      <w:pPr>
        <w:spacing w:after="0" w:line="240" w:lineRule="auto"/>
        <w:ind w:left="720"/>
        <w:rPr>
          <w:rFonts w:ascii="Arial" w:hAnsi="Arial" w:cs="Arial"/>
          <w:spacing w:val="-2"/>
        </w:rPr>
      </w:pPr>
      <w:r>
        <w:rPr>
          <w:rFonts w:ascii="Arial" w:hAnsi="Arial" w:cs="Arial"/>
          <w:spacing w:val="-2"/>
        </w:rPr>
        <w:tab/>
        <w:t>2.7. Supply &amp; Install Doors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pcs.</w:t>
      </w:r>
      <w:r>
        <w:rPr>
          <w:rFonts w:ascii="Arial" w:hAnsi="Arial" w:cs="Arial"/>
          <w:spacing w:val="-2"/>
        </w:rPr>
        <w:tab/>
        <w:t>6.00</w:t>
      </w:r>
    </w:p>
    <w:p w:rsidR="00DD416B" w:rsidRDefault="00DD416B" w:rsidP="00DD416B">
      <w:pPr>
        <w:spacing w:after="0" w:line="240" w:lineRule="auto"/>
        <w:ind w:left="720"/>
        <w:rPr>
          <w:rFonts w:ascii="Arial" w:hAnsi="Arial" w:cs="Arial"/>
          <w:spacing w:val="-2"/>
        </w:rPr>
      </w:pPr>
      <w:r>
        <w:rPr>
          <w:rFonts w:ascii="Arial" w:hAnsi="Arial" w:cs="Arial"/>
          <w:spacing w:val="-2"/>
        </w:rPr>
        <w:tab/>
        <w:t>2.8. Supply &amp; Install Trusses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92.00</w:t>
      </w:r>
    </w:p>
    <w:p w:rsidR="00DD416B" w:rsidRDefault="00DD416B" w:rsidP="00DD416B">
      <w:pPr>
        <w:spacing w:after="0" w:line="240" w:lineRule="auto"/>
        <w:ind w:left="720"/>
        <w:rPr>
          <w:rFonts w:ascii="Arial" w:hAnsi="Arial" w:cs="Arial"/>
          <w:spacing w:val="-2"/>
        </w:rPr>
      </w:pPr>
      <w:r>
        <w:rPr>
          <w:rFonts w:ascii="Arial" w:hAnsi="Arial" w:cs="Arial"/>
          <w:spacing w:val="-2"/>
        </w:rPr>
        <w:tab/>
        <w:t>2.9. Supply &amp; Install Roofing</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150.00</w:t>
      </w:r>
    </w:p>
    <w:p w:rsidR="00DD416B" w:rsidRDefault="00DD416B" w:rsidP="00DD416B">
      <w:pPr>
        <w:spacing w:after="0" w:line="240" w:lineRule="auto"/>
        <w:ind w:left="720"/>
        <w:rPr>
          <w:rFonts w:ascii="Arial" w:hAnsi="Arial" w:cs="Arial"/>
          <w:spacing w:val="-2"/>
        </w:rPr>
      </w:pPr>
      <w:r>
        <w:rPr>
          <w:rFonts w:ascii="Arial" w:hAnsi="Arial" w:cs="Arial"/>
          <w:spacing w:val="-2"/>
        </w:rPr>
        <w:tab/>
        <w:t>2.10. Supply &amp; Install Stainless Steel Railings</w:t>
      </w:r>
    </w:p>
    <w:p w:rsidR="00DD416B" w:rsidRDefault="00DD416B" w:rsidP="00DD416B">
      <w:pPr>
        <w:spacing w:after="0" w:line="240" w:lineRule="auto"/>
        <w:ind w:left="720"/>
        <w:rPr>
          <w:rFonts w:ascii="Arial" w:hAnsi="Arial" w:cs="Arial"/>
          <w:spacing w:val="-2"/>
        </w:rPr>
      </w:pPr>
      <w:r>
        <w:rPr>
          <w:rFonts w:ascii="Arial" w:hAnsi="Arial" w:cs="Arial"/>
          <w:spacing w:val="-2"/>
        </w:rPr>
        <w:tab/>
        <w:t xml:space="preserve">       for PWD</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set</w:t>
      </w:r>
      <w:r>
        <w:rPr>
          <w:rFonts w:ascii="Arial" w:hAnsi="Arial" w:cs="Arial"/>
          <w:spacing w:val="-2"/>
        </w:rPr>
        <w:tab/>
        <w:t>3.00</w:t>
      </w:r>
    </w:p>
    <w:p w:rsidR="00DD416B" w:rsidRDefault="00DD416B" w:rsidP="00DD416B">
      <w:pPr>
        <w:spacing w:after="0" w:line="240" w:lineRule="auto"/>
        <w:ind w:left="720"/>
        <w:rPr>
          <w:rFonts w:ascii="Arial" w:hAnsi="Arial" w:cs="Arial"/>
          <w:spacing w:val="-2"/>
        </w:rPr>
      </w:pPr>
      <w:r>
        <w:rPr>
          <w:rFonts w:ascii="Arial" w:hAnsi="Arial" w:cs="Arial"/>
          <w:spacing w:val="-2"/>
        </w:rPr>
        <w:tab/>
        <w:t>2.11. Supply &amp; Install Septic Vault</w:t>
      </w:r>
      <w:r>
        <w:rPr>
          <w:rFonts w:ascii="Arial" w:hAnsi="Arial" w:cs="Arial"/>
          <w:spacing w:val="-2"/>
        </w:rPr>
        <w:tab/>
      </w:r>
      <w:r>
        <w:rPr>
          <w:rFonts w:ascii="Arial" w:hAnsi="Arial" w:cs="Arial"/>
          <w:spacing w:val="-2"/>
        </w:rPr>
        <w:tab/>
      </w:r>
      <w:r>
        <w:rPr>
          <w:rFonts w:ascii="Arial" w:hAnsi="Arial" w:cs="Arial"/>
          <w:spacing w:val="-2"/>
        </w:rPr>
        <w:tab/>
        <w:t>cu.m.</w:t>
      </w:r>
      <w:r>
        <w:rPr>
          <w:rFonts w:ascii="Arial" w:hAnsi="Arial" w:cs="Arial"/>
          <w:spacing w:val="-2"/>
        </w:rPr>
        <w:tab/>
        <w:t>18.00</w:t>
      </w:r>
    </w:p>
    <w:p w:rsidR="00DD416B" w:rsidRDefault="00DD416B" w:rsidP="00DD416B">
      <w:pPr>
        <w:spacing w:after="0" w:line="240" w:lineRule="auto"/>
        <w:ind w:left="720"/>
        <w:rPr>
          <w:rFonts w:ascii="Arial" w:hAnsi="Arial" w:cs="Arial"/>
          <w:spacing w:val="-2"/>
        </w:rPr>
      </w:pPr>
      <w:r>
        <w:rPr>
          <w:rFonts w:ascii="Arial" w:hAnsi="Arial" w:cs="Arial"/>
          <w:spacing w:val="-2"/>
        </w:rPr>
        <w:tab/>
        <w:t>2.12. Tile Works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82.00</w:t>
      </w:r>
    </w:p>
    <w:p w:rsidR="00DD416B" w:rsidRDefault="00DD416B" w:rsidP="00DD416B">
      <w:pPr>
        <w:spacing w:after="0" w:line="240" w:lineRule="auto"/>
        <w:ind w:left="720"/>
        <w:rPr>
          <w:rFonts w:ascii="Arial" w:hAnsi="Arial" w:cs="Arial"/>
          <w:spacing w:val="-2"/>
        </w:rPr>
      </w:pPr>
      <w:r>
        <w:rPr>
          <w:rFonts w:ascii="Arial" w:hAnsi="Arial" w:cs="Arial"/>
          <w:spacing w:val="-2"/>
        </w:rPr>
        <w:tab/>
        <w:t>2.13. Supply &amp; Install Ceiling</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96.00</w:t>
      </w:r>
    </w:p>
    <w:p w:rsidR="00DD416B" w:rsidRDefault="00DD416B" w:rsidP="00DD416B">
      <w:pPr>
        <w:spacing w:after="0" w:line="240" w:lineRule="auto"/>
        <w:ind w:left="720"/>
        <w:rPr>
          <w:rFonts w:ascii="Arial" w:hAnsi="Arial" w:cs="Arial"/>
          <w:spacing w:val="-2"/>
        </w:rPr>
      </w:pPr>
      <w:r>
        <w:rPr>
          <w:rFonts w:ascii="Arial" w:hAnsi="Arial" w:cs="Arial"/>
          <w:spacing w:val="-2"/>
        </w:rPr>
        <w:tab/>
        <w:t>2.14. Supply &amp; Install Plumbing Fixtures &amp; Acc.</w:t>
      </w:r>
      <w:r>
        <w:rPr>
          <w:rFonts w:ascii="Arial" w:hAnsi="Arial" w:cs="Arial"/>
          <w:spacing w:val="-2"/>
        </w:rPr>
        <w:tab/>
        <w:t>lot</w:t>
      </w:r>
      <w:r>
        <w:rPr>
          <w:rFonts w:ascii="Arial" w:hAnsi="Arial" w:cs="Arial"/>
          <w:spacing w:val="-2"/>
        </w:rPr>
        <w:tab/>
        <w:t>1.00</w:t>
      </w:r>
    </w:p>
    <w:p w:rsidR="00DD416B" w:rsidRDefault="00DD416B" w:rsidP="00DD416B">
      <w:pPr>
        <w:spacing w:after="0" w:line="240" w:lineRule="auto"/>
        <w:ind w:left="720"/>
        <w:rPr>
          <w:rFonts w:ascii="Arial" w:hAnsi="Arial" w:cs="Arial"/>
          <w:spacing w:val="-2"/>
        </w:rPr>
      </w:pPr>
      <w:r>
        <w:rPr>
          <w:rFonts w:ascii="Arial" w:hAnsi="Arial" w:cs="Arial"/>
          <w:spacing w:val="-2"/>
        </w:rPr>
        <w:tab/>
        <w:t>2.15. Supply &amp; Install Electrical Fixtures &amp; Rewiring</w:t>
      </w:r>
      <w:r>
        <w:rPr>
          <w:rFonts w:ascii="Arial" w:hAnsi="Arial" w:cs="Arial"/>
          <w:spacing w:val="-2"/>
        </w:rPr>
        <w:tab/>
        <w:t>lot</w:t>
      </w:r>
      <w:r>
        <w:rPr>
          <w:rFonts w:ascii="Arial" w:hAnsi="Arial" w:cs="Arial"/>
          <w:spacing w:val="-2"/>
        </w:rPr>
        <w:tab/>
        <w:t>1.00</w:t>
      </w:r>
    </w:p>
    <w:p w:rsidR="00DD416B" w:rsidRDefault="00DD416B" w:rsidP="00DD416B">
      <w:pPr>
        <w:spacing w:after="0" w:line="240" w:lineRule="auto"/>
        <w:ind w:left="720"/>
        <w:rPr>
          <w:rFonts w:ascii="Arial" w:hAnsi="Arial" w:cs="Arial"/>
          <w:spacing w:val="-2"/>
        </w:rPr>
      </w:pPr>
      <w:r>
        <w:rPr>
          <w:rFonts w:ascii="Arial" w:hAnsi="Arial" w:cs="Arial"/>
          <w:spacing w:val="-2"/>
        </w:rPr>
        <w:tab/>
        <w:t>2.16. Repainting Works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306.00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III.</w:t>
      </w:r>
      <w:r>
        <w:rPr>
          <w:rFonts w:ascii="Arial" w:hAnsi="Arial" w:cs="Arial"/>
          <w:spacing w:val="-2"/>
        </w:rPr>
        <w:tab/>
        <w:t>CHB FENCE</w:t>
      </w:r>
    </w:p>
    <w:p w:rsidR="00DD416B" w:rsidRDefault="00DD416B" w:rsidP="00DD416B">
      <w:pPr>
        <w:spacing w:after="0" w:line="240" w:lineRule="auto"/>
        <w:ind w:left="720"/>
        <w:rPr>
          <w:rFonts w:ascii="Arial" w:hAnsi="Arial" w:cs="Arial"/>
          <w:spacing w:val="-2"/>
        </w:rPr>
      </w:pPr>
      <w:r>
        <w:rPr>
          <w:rFonts w:ascii="Arial" w:hAnsi="Arial" w:cs="Arial"/>
          <w:spacing w:val="-2"/>
        </w:rPr>
        <w:tab/>
        <w:t>3.1. Demolition &amp; Disposal of Waste Materials</w:t>
      </w:r>
      <w:r>
        <w:rPr>
          <w:rFonts w:ascii="Arial" w:hAnsi="Arial" w:cs="Arial"/>
          <w:spacing w:val="-2"/>
        </w:rPr>
        <w:tab/>
        <w:t>sq.m.</w:t>
      </w:r>
      <w:r>
        <w:rPr>
          <w:rFonts w:ascii="Arial" w:hAnsi="Arial" w:cs="Arial"/>
          <w:spacing w:val="-2"/>
        </w:rPr>
        <w:tab/>
        <w:t>114.00</w:t>
      </w:r>
    </w:p>
    <w:p w:rsidR="00DD416B" w:rsidRDefault="00DD416B" w:rsidP="00DD416B">
      <w:pPr>
        <w:spacing w:after="0" w:line="240" w:lineRule="auto"/>
        <w:ind w:left="720"/>
        <w:rPr>
          <w:rFonts w:ascii="Arial" w:hAnsi="Arial" w:cs="Arial"/>
          <w:spacing w:val="-2"/>
        </w:rPr>
      </w:pPr>
      <w:r>
        <w:rPr>
          <w:rFonts w:ascii="Arial" w:hAnsi="Arial" w:cs="Arial"/>
          <w:spacing w:val="-2"/>
        </w:rPr>
        <w:tab/>
        <w:t>3.2. Excavation and Disposal of Waste Materials</w:t>
      </w:r>
      <w:r>
        <w:rPr>
          <w:rFonts w:ascii="Arial" w:hAnsi="Arial" w:cs="Arial"/>
          <w:spacing w:val="-2"/>
        </w:rPr>
        <w:tab/>
        <w:t>cu.m.</w:t>
      </w:r>
      <w:r>
        <w:rPr>
          <w:rFonts w:ascii="Arial" w:hAnsi="Arial" w:cs="Arial"/>
          <w:spacing w:val="-2"/>
        </w:rPr>
        <w:tab/>
        <w:t>17.00</w:t>
      </w:r>
    </w:p>
    <w:p w:rsidR="00DD416B" w:rsidRDefault="00DD416B" w:rsidP="00DD416B">
      <w:pPr>
        <w:spacing w:after="0" w:line="240" w:lineRule="auto"/>
        <w:ind w:left="720"/>
        <w:rPr>
          <w:rFonts w:ascii="Arial" w:hAnsi="Arial" w:cs="Arial"/>
          <w:spacing w:val="-2"/>
        </w:rPr>
      </w:pPr>
      <w:r>
        <w:rPr>
          <w:rFonts w:ascii="Arial" w:hAnsi="Arial" w:cs="Arial"/>
          <w:spacing w:val="-2"/>
        </w:rPr>
        <w:tab/>
        <w:t>3.3. Reinforcing Bars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kg.</w:t>
      </w:r>
      <w:r>
        <w:rPr>
          <w:rFonts w:ascii="Arial" w:hAnsi="Arial" w:cs="Arial"/>
          <w:spacing w:val="-2"/>
        </w:rPr>
        <w:tab/>
        <w:t>5,794</w:t>
      </w:r>
    </w:p>
    <w:p w:rsidR="00DD416B" w:rsidRDefault="00DD416B" w:rsidP="00DD416B">
      <w:pPr>
        <w:spacing w:after="0" w:line="240" w:lineRule="auto"/>
        <w:ind w:left="720"/>
        <w:rPr>
          <w:rFonts w:ascii="Arial" w:hAnsi="Arial" w:cs="Arial"/>
          <w:spacing w:val="-2"/>
        </w:rPr>
      </w:pPr>
      <w:r>
        <w:rPr>
          <w:rFonts w:ascii="Arial" w:hAnsi="Arial" w:cs="Arial"/>
          <w:spacing w:val="-2"/>
        </w:rPr>
        <w:tab/>
        <w:t>3.4. Supply &amp; Place of Concrete (3,500 psi)</w:t>
      </w:r>
      <w:r>
        <w:rPr>
          <w:rFonts w:ascii="Arial" w:hAnsi="Arial" w:cs="Arial"/>
          <w:spacing w:val="-2"/>
        </w:rPr>
        <w:tab/>
      </w:r>
      <w:r>
        <w:rPr>
          <w:rFonts w:ascii="Arial" w:hAnsi="Arial" w:cs="Arial"/>
          <w:spacing w:val="-2"/>
        </w:rPr>
        <w:tab/>
        <w:t>cu.m.</w:t>
      </w:r>
      <w:r>
        <w:rPr>
          <w:rFonts w:ascii="Arial" w:hAnsi="Arial" w:cs="Arial"/>
          <w:spacing w:val="-2"/>
        </w:rPr>
        <w:tab/>
        <w:t>30.00</w:t>
      </w:r>
    </w:p>
    <w:p w:rsidR="00DD416B" w:rsidRDefault="00DD416B" w:rsidP="00DD416B">
      <w:pPr>
        <w:spacing w:after="0" w:line="240" w:lineRule="auto"/>
        <w:ind w:left="720"/>
        <w:rPr>
          <w:rFonts w:ascii="Arial" w:hAnsi="Arial" w:cs="Arial"/>
          <w:spacing w:val="-2"/>
        </w:rPr>
      </w:pPr>
      <w:r>
        <w:rPr>
          <w:rFonts w:ascii="Arial" w:hAnsi="Arial" w:cs="Arial"/>
          <w:spacing w:val="-2"/>
        </w:rPr>
        <w:tab/>
        <w:t>3.5. Masonry Work-Plastering &amp; Install CHB Blocks</w:t>
      </w:r>
      <w:r>
        <w:rPr>
          <w:rFonts w:ascii="Arial" w:hAnsi="Arial" w:cs="Arial"/>
          <w:spacing w:val="-2"/>
        </w:rPr>
        <w:tab/>
        <w:t>sq.m.</w:t>
      </w:r>
      <w:r>
        <w:rPr>
          <w:rFonts w:ascii="Arial" w:hAnsi="Arial" w:cs="Arial"/>
          <w:spacing w:val="-2"/>
        </w:rPr>
        <w:tab/>
        <w:t>261.00</w:t>
      </w:r>
    </w:p>
    <w:p w:rsidR="00DD416B" w:rsidRDefault="00DD416B" w:rsidP="00DD416B">
      <w:pPr>
        <w:spacing w:after="0" w:line="240" w:lineRule="auto"/>
        <w:ind w:left="720"/>
        <w:rPr>
          <w:rFonts w:ascii="Arial" w:hAnsi="Arial" w:cs="Arial"/>
          <w:spacing w:val="-2"/>
        </w:rPr>
      </w:pPr>
      <w:r>
        <w:rPr>
          <w:rFonts w:ascii="Arial" w:hAnsi="Arial" w:cs="Arial"/>
          <w:spacing w:val="-2"/>
        </w:rPr>
        <w:tab/>
        <w:t>3.6. Supply &amp; Installation of Barbed Wire</w:t>
      </w:r>
      <w:r>
        <w:rPr>
          <w:rFonts w:ascii="Arial" w:hAnsi="Arial" w:cs="Arial"/>
          <w:spacing w:val="-2"/>
        </w:rPr>
        <w:tab/>
      </w:r>
      <w:r>
        <w:rPr>
          <w:rFonts w:ascii="Arial" w:hAnsi="Arial" w:cs="Arial"/>
          <w:spacing w:val="-2"/>
        </w:rPr>
        <w:tab/>
        <w:t>mtr.</w:t>
      </w:r>
      <w:r>
        <w:rPr>
          <w:rFonts w:ascii="Arial" w:hAnsi="Arial" w:cs="Arial"/>
          <w:spacing w:val="-2"/>
        </w:rPr>
        <w:tab/>
        <w:t>80.00</w:t>
      </w:r>
    </w:p>
    <w:p w:rsidR="00DD416B" w:rsidRDefault="00DD416B" w:rsidP="00DD416B">
      <w:pPr>
        <w:spacing w:after="0" w:line="240" w:lineRule="auto"/>
        <w:ind w:left="720"/>
        <w:rPr>
          <w:rFonts w:ascii="Arial" w:hAnsi="Arial" w:cs="Arial"/>
          <w:spacing w:val="-2"/>
        </w:rPr>
      </w:pPr>
      <w:r>
        <w:rPr>
          <w:rFonts w:ascii="Arial" w:hAnsi="Arial" w:cs="Arial"/>
          <w:spacing w:val="-2"/>
        </w:rPr>
        <w:tab/>
        <w:t>3.7. Painting Works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sq.m.</w:t>
      </w:r>
      <w:r>
        <w:rPr>
          <w:rFonts w:ascii="Arial" w:hAnsi="Arial" w:cs="Arial"/>
          <w:spacing w:val="-2"/>
        </w:rPr>
        <w:tab/>
        <w:t>435.00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IV.</w:t>
      </w:r>
      <w:r>
        <w:rPr>
          <w:rFonts w:ascii="Arial" w:hAnsi="Arial" w:cs="Arial"/>
          <w:spacing w:val="-2"/>
        </w:rPr>
        <w:tab/>
        <w:t>CONSTRUCTION HEALTH &amp; SAFETY PROGRAM</w:t>
      </w:r>
      <w:r>
        <w:rPr>
          <w:rFonts w:ascii="Arial" w:hAnsi="Arial" w:cs="Arial"/>
          <w:spacing w:val="-2"/>
        </w:rPr>
        <w:tab/>
        <w:t>lot</w:t>
      </w:r>
      <w:r>
        <w:rPr>
          <w:rFonts w:ascii="Arial" w:hAnsi="Arial" w:cs="Arial"/>
          <w:spacing w:val="-2"/>
        </w:rPr>
        <w:tab/>
        <w:t>1.00</w:t>
      </w:r>
    </w:p>
    <w:p w:rsidR="00DD416B" w:rsidRDefault="00DD416B" w:rsidP="00DD416B">
      <w:pPr>
        <w:pStyle w:val="NoSpacing"/>
        <w:jc w:val="both"/>
        <w:rPr>
          <w:rFonts w:ascii="Arial" w:hAnsi="Arial" w:cs="Arial"/>
          <w:b/>
          <w:sz w:val="18"/>
          <w:szCs w:val="20"/>
        </w:rPr>
      </w:pPr>
    </w:p>
    <w:p w:rsidR="00DD416B" w:rsidRDefault="00CB1299" w:rsidP="00DD416B">
      <w:pPr>
        <w:pStyle w:val="NoSpacing"/>
        <w:jc w:val="both"/>
        <w:rPr>
          <w:rFonts w:ascii="Arial" w:hAnsi="Arial" w:cs="Arial"/>
          <w:b/>
          <w:sz w:val="18"/>
          <w:szCs w:val="20"/>
        </w:rPr>
      </w:pPr>
      <w:r>
        <w:rPr>
          <w:rFonts w:ascii="Arial" w:hAnsi="Arial" w:cs="Arial"/>
          <w:b/>
          <w:sz w:val="18"/>
          <w:szCs w:val="20"/>
        </w:rPr>
        <w:t>EQUIPMENT</w:t>
      </w:r>
    </w:p>
    <w:p w:rsidR="00DD416B" w:rsidRPr="00F65989" w:rsidRDefault="00DD416B" w:rsidP="00DD416B">
      <w:pPr>
        <w:pStyle w:val="NoSpacing"/>
        <w:jc w:val="both"/>
        <w:rPr>
          <w:rFonts w:ascii="Arial" w:hAnsi="Arial" w:cs="Arial"/>
          <w:b/>
          <w:sz w:val="18"/>
          <w:szCs w:val="20"/>
        </w:rPr>
      </w:pPr>
    </w:p>
    <w:tbl>
      <w:tblPr>
        <w:tblW w:w="11485" w:type="dxa"/>
        <w:tblInd w:w="93" w:type="dxa"/>
        <w:tblLook w:val="04A0"/>
      </w:tblPr>
      <w:tblGrid>
        <w:gridCol w:w="9285"/>
        <w:gridCol w:w="1240"/>
        <w:gridCol w:w="960"/>
      </w:tblGrid>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Dumptruck,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t>(6</w:t>
            </w:r>
            <w:r w:rsidR="001E4E3A">
              <w:rPr>
                <w:rFonts w:ascii="Arial" w:eastAsia="Times New Roman" w:hAnsi="Arial" w:cs="Arial"/>
                <w:sz w:val="20"/>
                <w:szCs w:val="20"/>
              </w:rPr>
              <w:t>.99</w:t>
            </w:r>
            <w:r w:rsidRPr="00F65989">
              <w:rPr>
                <w:rFonts w:ascii="Arial" w:eastAsia="Times New Roman" w:hAnsi="Arial" w:cs="Arial"/>
                <w:sz w:val="20"/>
                <w:szCs w:val="20"/>
              </w:rPr>
              <w:t>-8.99 cu.m), 220 H</w:t>
            </w:r>
            <w:r w:rsidRPr="00F65989">
              <w:rPr>
                <w:rFonts w:ascii="Arial" w:eastAsia="Times New Roman" w:hAnsi="Arial" w:cs="Arial"/>
                <w:szCs w:val="24"/>
              </w:rPr>
              <w:tab/>
            </w:r>
          </w:p>
          <w:p w:rsidR="00965DB0" w:rsidRPr="00F65989" w:rsidRDefault="00965DB0" w:rsidP="00965DB0">
            <w:pPr>
              <w:pStyle w:val="NoSpacing"/>
              <w:jc w:val="both"/>
              <w:rPr>
                <w:rFonts w:ascii="Arial" w:hAnsi="Arial" w:cs="Arial"/>
                <w:sz w:val="18"/>
                <w:szCs w:val="20"/>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Bar Cutter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t xml:space="preserve">up to </w:t>
            </w:r>
            <w:r w:rsidR="001E4E3A">
              <w:rPr>
                <w:rFonts w:ascii="Arial" w:eastAsia="Times New Roman" w:hAnsi="Arial" w:cs="Arial"/>
                <w:sz w:val="20"/>
                <w:szCs w:val="20"/>
              </w:rPr>
              <w:t>16</w:t>
            </w:r>
            <w:r w:rsidRPr="00F65989">
              <w:rPr>
                <w:rFonts w:ascii="Arial" w:eastAsia="Times New Roman" w:hAnsi="Arial" w:cs="Arial"/>
                <w:sz w:val="20"/>
                <w:szCs w:val="20"/>
              </w:rPr>
              <w:t>mm diam</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 w:val="20"/>
                <w:szCs w:val="20"/>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Concrete Mixer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287B41">
              <w:rPr>
                <w:rFonts w:ascii="Arial" w:eastAsia="Times New Roman" w:hAnsi="Arial" w:cs="Arial"/>
                <w:sz w:val="20"/>
                <w:szCs w:val="20"/>
              </w:rPr>
              <w:t xml:space="preserve">           </w:t>
            </w:r>
            <w:r w:rsidRPr="00F65989">
              <w:rPr>
                <w:rFonts w:ascii="Arial" w:eastAsia="Times New Roman" w:hAnsi="Arial" w:cs="Arial"/>
                <w:sz w:val="20"/>
                <w:szCs w:val="20"/>
              </w:rPr>
              <w:t>(1 bagger)</w:t>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Concrete Vibrator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t xml:space="preserve"> 2" diam.</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 w:val="20"/>
                <w:szCs w:val="20"/>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Electric Sander/Grinder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287B41">
              <w:rPr>
                <w:rFonts w:ascii="Arial" w:eastAsia="Times New Roman" w:hAnsi="Arial" w:cs="Arial"/>
                <w:sz w:val="20"/>
                <w:szCs w:val="20"/>
              </w:rPr>
              <w:t xml:space="preserve">         </w:t>
            </w:r>
            <w:r w:rsidR="006666CE">
              <w:rPr>
                <w:rFonts w:ascii="Arial" w:eastAsia="Times New Roman" w:hAnsi="Arial" w:cs="Arial"/>
                <w:sz w:val="20"/>
                <w:szCs w:val="20"/>
              </w:rPr>
              <w:t>4</w:t>
            </w:r>
            <w:r w:rsidRPr="00F65989">
              <w:rPr>
                <w:rFonts w:ascii="Arial" w:eastAsia="Times New Roman" w:hAnsi="Arial" w:cs="Arial"/>
                <w:sz w:val="20"/>
                <w:szCs w:val="20"/>
              </w:rPr>
              <w:t>" diam.</w:t>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Backhoe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287B41">
              <w:rPr>
                <w:rFonts w:ascii="Arial" w:eastAsia="Times New Roman" w:hAnsi="Arial" w:cs="Arial"/>
                <w:sz w:val="20"/>
                <w:szCs w:val="20"/>
              </w:rPr>
              <w:t xml:space="preserve">       </w:t>
            </w:r>
            <w:r w:rsidR="00AD04CF" w:rsidRPr="00F65989">
              <w:rPr>
                <w:rFonts w:ascii="Arial" w:eastAsia="Times New Roman" w:hAnsi="Arial" w:cs="Arial"/>
                <w:sz w:val="20"/>
                <w:szCs w:val="20"/>
              </w:rPr>
              <w:t>(excavator 0.</w:t>
            </w:r>
            <w:r w:rsidR="001E4E3A">
              <w:rPr>
                <w:rFonts w:ascii="Arial" w:eastAsia="Times New Roman" w:hAnsi="Arial" w:cs="Arial"/>
                <w:sz w:val="20"/>
                <w:szCs w:val="20"/>
              </w:rPr>
              <w:t>5</w:t>
            </w:r>
            <w:r w:rsidR="00AD04CF" w:rsidRPr="00F65989">
              <w:rPr>
                <w:rFonts w:ascii="Arial" w:eastAsia="Times New Roman" w:hAnsi="Arial" w:cs="Arial"/>
                <w:sz w:val="20"/>
                <w:szCs w:val="20"/>
              </w:rPr>
              <w:t xml:space="preserve">0 </w:t>
            </w:r>
            <w:r w:rsidRPr="00F65989">
              <w:rPr>
                <w:rFonts w:ascii="Arial" w:eastAsia="Times New Roman" w:hAnsi="Arial" w:cs="Arial"/>
                <w:sz w:val="20"/>
                <w:szCs w:val="20"/>
              </w:rPr>
              <w:t>cu.m. Bucket)</w:t>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lastRenderedPageBreak/>
              <w:t xml:space="preserve">1-unit- </w:t>
            </w:r>
            <w:r w:rsidRPr="00F65989">
              <w:rPr>
                <w:rFonts w:ascii="Arial" w:eastAsia="Times New Roman" w:hAnsi="Arial" w:cs="Arial"/>
                <w:sz w:val="20"/>
                <w:szCs w:val="20"/>
              </w:rPr>
              <w:t xml:space="preserve">Water Truck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t>1,000 Gal.</w:t>
            </w:r>
            <w:r w:rsidRPr="00F65989">
              <w:rPr>
                <w:rFonts w:ascii="Arial" w:eastAsia="Times New Roman" w:hAnsi="Arial" w:cs="Arial"/>
                <w:szCs w:val="24"/>
              </w:rPr>
              <w:tab/>
            </w:r>
          </w:p>
          <w:p w:rsidR="00965DB0" w:rsidRPr="00F65989" w:rsidRDefault="00965DB0" w:rsidP="00965DB0">
            <w:pPr>
              <w:pStyle w:val="NoSpacing"/>
              <w:jc w:val="both"/>
              <w:rPr>
                <w:rFonts w:ascii="Arial" w:hAnsi="Arial" w:cs="Arial"/>
                <w:sz w:val="18"/>
                <w:szCs w:val="20"/>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Electric Drill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t>up to 1.0 cm diam.</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 w:val="20"/>
                <w:szCs w:val="20"/>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Welding Machine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t>300 ampheres</w:t>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Pr="00F65989">
              <w:rPr>
                <w:rFonts w:ascii="Arial" w:eastAsia="Times New Roman" w:hAnsi="Arial" w:cs="Arial"/>
                <w:sz w:val="20"/>
                <w:szCs w:val="20"/>
              </w:rPr>
              <w:t>Jack Hammer with compres</w:t>
            </w:r>
            <w:r w:rsidR="008E4F5C" w:rsidRPr="00F65989">
              <w:rPr>
                <w:rFonts w:ascii="Arial" w:eastAsia="Times New Roman" w:hAnsi="Arial" w:cs="Arial"/>
                <w:sz w:val="20"/>
                <w:szCs w:val="20"/>
              </w:rPr>
              <w:t>s</w:t>
            </w:r>
            <w:r w:rsidRPr="00F65989">
              <w:rPr>
                <w:rFonts w:ascii="Arial" w:eastAsia="Times New Roman" w:hAnsi="Arial" w:cs="Arial"/>
                <w:sz w:val="20"/>
                <w:szCs w:val="20"/>
              </w:rPr>
              <w:t xml:space="preserve">or </w:t>
            </w:r>
            <w:r w:rsidRPr="00F65989">
              <w:rPr>
                <w:rFonts w:ascii="Arial" w:eastAsia="Times New Roman" w:hAnsi="Arial" w:cs="Arial"/>
                <w:sz w:val="20"/>
                <w:szCs w:val="20"/>
              </w:rPr>
              <w:tab/>
            </w:r>
            <w:r w:rsidRPr="00F65989">
              <w:rPr>
                <w:rFonts w:ascii="Arial" w:eastAsia="Times New Roman" w:hAnsi="Arial" w:cs="Arial"/>
                <w:sz w:val="20"/>
                <w:szCs w:val="20"/>
              </w:rPr>
              <w:tab/>
            </w:r>
            <w:r w:rsidR="001E4E3A">
              <w:rPr>
                <w:rFonts w:ascii="Arial" w:eastAsia="Times New Roman" w:hAnsi="Arial" w:cs="Arial"/>
                <w:sz w:val="20"/>
                <w:szCs w:val="20"/>
              </w:rPr>
              <w:t xml:space="preserve">            </w:t>
            </w:r>
            <w:r w:rsidR="008F0135">
              <w:rPr>
                <w:rFonts w:ascii="Arial" w:eastAsia="Times New Roman" w:hAnsi="Arial" w:cs="Arial"/>
                <w:sz w:val="20"/>
                <w:szCs w:val="20"/>
              </w:rPr>
              <w:t>(356-450cfm/</w:t>
            </w:r>
            <w:r w:rsidRPr="00F65989">
              <w:rPr>
                <w:rFonts w:ascii="Arial" w:eastAsia="Times New Roman" w:hAnsi="Arial" w:cs="Arial"/>
                <w:sz w:val="20"/>
                <w:szCs w:val="20"/>
              </w:rPr>
              <w:t>130 Hp</w:t>
            </w:r>
            <w:r w:rsidR="008F0135">
              <w:rPr>
                <w:rFonts w:ascii="Arial" w:eastAsia="Times New Roman" w:hAnsi="Arial" w:cs="Arial"/>
                <w:sz w:val="20"/>
                <w:szCs w:val="20"/>
              </w:rPr>
              <w:t>)</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Bar Binder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t>25mm</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8F0135" w:rsidP="00965DB0">
            <w:pPr>
              <w:pStyle w:val="NoSpacing"/>
              <w:jc w:val="both"/>
              <w:rPr>
                <w:rFonts w:ascii="Arial" w:eastAsia="Times New Roman" w:hAnsi="Arial" w:cs="Arial"/>
                <w:szCs w:val="24"/>
              </w:rPr>
            </w:pPr>
            <w:r>
              <w:rPr>
                <w:rFonts w:ascii="Arial" w:eastAsia="Times New Roman" w:hAnsi="Arial" w:cs="Arial"/>
                <w:szCs w:val="24"/>
              </w:rPr>
              <w:t>1-unit- Spray Gun w/compressor &amp; acc.</w:t>
            </w:r>
            <w:r w:rsidR="00965DB0"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8E4F5C" w:rsidRPr="00F65989">
              <w:rPr>
                <w:rFonts w:ascii="Arial" w:eastAsia="Times New Roman" w:hAnsi="Arial" w:cs="Arial"/>
                <w:szCs w:val="24"/>
              </w:rPr>
              <w:t xml:space="preserve">Oxygen </w:t>
            </w:r>
            <w:r w:rsidR="006666CE">
              <w:rPr>
                <w:rFonts w:ascii="Arial" w:eastAsia="Times New Roman" w:hAnsi="Arial" w:cs="Arial"/>
                <w:szCs w:val="24"/>
              </w:rPr>
              <w:t>Acety</w:t>
            </w:r>
            <w:r w:rsidRPr="00F65989">
              <w:rPr>
                <w:rFonts w:ascii="Arial" w:eastAsia="Times New Roman" w:hAnsi="Arial" w:cs="Arial"/>
                <w:szCs w:val="24"/>
              </w:rPr>
              <w:t>lene Cutter</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8F0135" w:rsidP="00965DB0">
            <w:pPr>
              <w:pStyle w:val="NoSpacing"/>
              <w:jc w:val="both"/>
              <w:rPr>
                <w:rFonts w:ascii="Arial" w:eastAsia="Times New Roman" w:hAnsi="Arial" w:cs="Arial"/>
                <w:szCs w:val="24"/>
              </w:rPr>
            </w:pPr>
            <w:r>
              <w:rPr>
                <w:rFonts w:ascii="Arial" w:eastAsia="Times New Roman" w:hAnsi="Arial" w:cs="Arial"/>
                <w:szCs w:val="24"/>
              </w:rPr>
              <w:t>1-unit- Pipe Treader                                                   (1/2"-4"Ǿ Tread capacity)</w:t>
            </w:r>
            <w:r w:rsidR="00965DB0" w:rsidRPr="00F65989">
              <w:rPr>
                <w:rFonts w:ascii="Arial" w:eastAsia="Times New Roman" w:hAnsi="Arial" w:cs="Arial"/>
                <w:szCs w:val="24"/>
              </w:rPr>
              <w:tab/>
            </w:r>
          </w:p>
          <w:p w:rsidR="000246B4" w:rsidRPr="00F65989" w:rsidRDefault="000246B4" w:rsidP="00223F58">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lastRenderedPageBreak/>
              <w:t>Completion of the works is required 1</w:t>
            </w:r>
            <w:r w:rsidR="00DD416B">
              <w:rPr>
                <w:rFonts w:ascii="Arial" w:hAnsi="Arial" w:cs="Arial"/>
                <w:sz w:val="18"/>
                <w:szCs w:val="20"/>
              </w:rPr>
              <w:t>6</w:t>
            </w:r>
            <w:r w:rsidRPr="00F65989">
              <w:rPr>
                <w:rFonts w:ascii="Arial" w:hAnsi="Arial" w:cs="Arial"/>
                <w:sz w:val="18"/>
                <w:szCs w:val="20"/>
              </w:rPr>
              <w:t>0 Calendar Days. Bidders must have an experience of having completed at least one (1) contract that is similar to the contract to be bid, and whose value, adjusted to the current prices, must be at least 50% of the approved budget for the contract to be bid.</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is restricted to Filipino citizens/Sole proprietorships, partnerships, or organizations with at least seventy five percent (75%) interest or outstanding capital stock belonging to citizens of the Philippines and with Minimum PCAB License Registration-</w:t>
            </w:r>
            <w:r w:rsidR="009124CB">
              <w:rPr>
                <w:rFonts w:ascii="Arial" w:hAnsi="Arial" w:cs="Arial"/>
                <w:sz w:val="18"/>
                <w:szCs w:val="20"/>
              </w:rPr>
              <w:t>Small B</w:t>
            </w:r>
            <w:r w:rsidRPr="00F65989">
              <w:rPr>
                <w:rFonts w:ascii="Arial" w:hAnsi="Arial" w:cs="Arial"/>
                <w:sz w:val="18"/>
                <w:szCs w:val="20"/>
              </w:rPr>
              <w:t>- Building &amp; Industrial Plant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Interested bidders may obtain further information from PPA, PMO-Zamboanga del Norte and inspect the Bidding Documents at the address given below from 8:00AM to 5:00PM, Monday to Friday.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Letter of Intent will be received from </w:t>
            </w:r>
            <w:r w:rsidR="00DD416B">
              <w:rPr>
                <w:rFonts w:ascii="Arial" w:hAnsi="Arial" w:cs="Arial"/>
                <w:sz w:val="18"/>
                <w:szCs w:val="20"/>
              </w:rPr>
              <w:t>May 12-18, 2017</w:t>
            </w:r>
            <w:r w:rsidRPr="00F65989">
              <w:rPr>
                <w:rFonts w:ascii="Arial" w:hAnsi="Arial" w:cs="Arial"/>
                <w:sz w:val="18"/>
                <w:szCs w:val="20"/>
              </w:rPr>
              <w:t>. Only Letter of Intent (LOI) with attached 1- xerox copy of PCAB License and</w:t>
            </w:r>
            <w:r w:rsidR="00BC2A90" w:rsidRPr="00F65989">
              <w:rPr>
                <w:rFonts w:ascii="Arial" w:hAnsi="Arial" w:cs="Arial"/>
                <w:sz w:val="18"/>
                <w:szCs w:val="20"/>
              </w:rPr>
              <w:t xml:space="preserve"> shall</w:t>
            </w:r>
            <w:r w:rsidR="0087490B" w:rsidRPr="00F65989">
              <w:rPr>
                <w:rFonts w:ascii="Arial" w:hAnsi="Arial" w:cs="Arial"/>
                <w:sz w:val="18"/>
                <w:szCs w:val="20"/>
              </w:rPr>
              <w:t xml:space="preserve"> meet the</w:t>
            </w:r>
            <w:r w:rsidRPr="00F65989">
              <w:rPr>
                <w:rFonts w:ascii="Arial" w:hAnsi="Arial" w:cs="Arial"/>
                <w:sz w:val="18"/>
                <w:szCs w:val="20"/>
              </w:rPr>
              <w:t xml:space="preserve"> required experience will be accepted. Please present Original Copy of PCAB License at the time of submission of LOI for verification purposes. Bidders without similar experience to the contract to be bid need not apply.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A complete set of Bidding Documents may be purchased by interested bidders from the address below and upon payment of a non-refundable fee for the Bidding Documents in the amount of </w:t>
            </w:r>
            <w:r w:rsidR="00DD416B">
              <w:rPr>
                <w:rFonts w:ascii="Arial" w:hAnsi="Arial" w:cs="Arial"/>
                <w:sz w:val="18"/>
                <w:szCs w:val="20"/>
              </w:rPr>
              <w:t>Ten</w:t>
            </w:r>
            <w:r w:rsidRPr="00F65989">
              <w:rPr>
                <w:rFonts w:ascii="Arial" w:hAnsi="Arial" w:cs="Arial"/>
                <w:sz w:val="18"/>
                <w:szCs w:val="20"/>
              </w:rPr>
              <w:t xml:space="preserve"> Thousand Pesos (Php </w:t>
            </w:r>
            <w:r w:rsidR="00DD416B">
              <w:rPr>
                <w:rFonts w:ascii="Arial" w:hAnsi="Arial" w:cs="Arial"/>
                <w:sz w:val="18"/>
                <w:szCs w:val="20"/>
              </w:rPr>
              <w:t>10</w:t>
            </w:r>
            <w:r w:rsidRPr="00F65989">
              <w:rPr>
                <w:rFonts w:ascii="Arial" w:hAnsi="Arial" w:cs="Arial"/>
                <w:sz w:val="18"/>
                <w:szCs w:val="20"/>
              </w:rPr>
              <w:t>,000.00), exclusive of VAT.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The PPA, PMO-Zamboanga del Norte will hold a Pre-Bid conference on </w:t>
            </w:r>
            <w:r w:rsidR="00DD416B">
              <w:rPr>
                <w:rFonts w:ascii="Arial" w:hAnsi="Arial" w:cs="Arial"/>
                <w:sz w:val="18"/>
                <w:szCs w:val="20"/>
              </w:rPr>
              <w:t>May 22, 2017</w:t>
            </w:r>
            <w:r w:rsidRPr="00F65989">
              <w:rPr>
                <w:rFonts w:ascii="Arial" w:hAnsi="Arial" w:cs="Arial"/>
                <w:sz w:val="18"/>
                <w:szCs w:val="20"/>
              </w:rPr>
              <w:t xml:space="preserve">, </w:t>
            </w:r>
            <w:r w:rsidR="00DD416B">
              <w:rPr>
                <w:rFonts w:ascii="Arial" w:hAnsi="Arial" w:cs="Arial"/>
                <w:sz w:val="18"/>
                <w:szCs w:val="20"/>
              </w:rPr>
              <w:t>2</w:t>
            </w:r>
            <w:r w:rsidRPr="00F65989">
              <w:rPr>
                <w:rFonts w:ascii="Arial" w:hAnsi="Arial" w:cs="Arial"/>
                <w:sz w:val="18"/>
                <w:szCs w:val="20"/>
              </w:rPr>
              <w:t xml:space="preserve">:00 </w:t>
            </w:r>
            <w:r w:rsidR="005F612B">
              <w:rPr>
                <w:rFonts w:ascii="Arial" w:hAnsi="Arial" w:cs="Arial"/>
                <w:sz w:val="18"/>
                <w:szCs w:val="20"/>
              </w:rPr>
              <w:t>P</w:t>
            </w:r>
            <w:r w:rsidRPr="00F65989">
              <w:rPr>
                <w:rFonts w:ascii="Arial" w:hAnsi="Arial" w:cs="Arial"/>
                <w:sz w:val="18"/>
                <w:szCs w:val="20"/>
              </w:rPr>
              <w:t>M at PPA Conference Room, Admin. Bldg.,Port of Dapitan, which shall be open only to all interested parties who have purchased the Bidding Documents.</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Bids must be delivered to the address below on or before the Opening of Bid</w:t>
            </w:r>
            <w:r w:rsidR="00E86E15">
              <w:rPr>
                <w:rFonts w:ascii="Arial" w:hAnsi="Arial" w:cs="Arial"/>
                <w:sz w:val="18"/>
                <w:szCs w:val="20"/>
              </w:rPr>
              <w:t>s</w:t>
            </w:r>
            <w:r w:rsidRPr="00F65989">
              <w:rPr>
                <w:rFonts w:ascii="Arial" w:hAnsi="Arial" w:cs="Arial"/>
                <w:sz w:val="18"/>
                <w:szCs w:val="20"/>
              </w:rPr>
              <w:t xml:space="preserve"> on,</w:t>
            </w:r>
            <w:r w:rsidR="00DD416B">
              <w:rPr>
                <w:rFonts w:ascii="Arial" w:hAnsi="Arial" w:cs="Arial"/>
                <w:sz w:val="18"/>
                <w:szCs w:val="20"/>
              </w:rPr>
              <w:t xml:space="preserve"> June 5, 2017</w:t>
            </w:r>
            <w:r w:rsidRPr="00F65989">
              <w:rPr>
                <w:rFonts w:ascii="Arial" w:hAnsi="Arial" w:cs="Arial"/>
                <w:sz w:val="18"/>
                <w:szCs w:val="20"/>
              </w:rPr>
              <w:t xml:space="preserve"> </w:t>
            </w:r>
            <w:r w:rsidR="00DD416B">
              <w:rPr>
                <w:rFonts w:ascii="Arial" w:hAnsi="Arial" w:cs="Arial"/>
                <w:sz w:val="18"/>
                <w:szCs w:val="20"/>
              </w:rPr>
              <w:t>2</w:t>
            </w:r>
            <w:r w:rsidRPr="00F65989">
              <w:rPr>
                <w:rFonts w:ascii="Arial" w:hAnsi="Arial" w:cs="Arial"/>
                <w:sz w:val="18"/>
                <w:szCs w:val="20"/>
              </w:rPr>
              <w:t xml:space="preserve">:00 </w:t>
            </w:r>
            <w:r w:rsidR="005F612B">
              <w:rPr>
                <w:rFonts w:ascii="Arial" w:hAnsi="Arial" w:cs="Arial"/>
                <w:sz w:val="18"/>
                <w:szCs w:val="20"/>
              </w:rPr>
              <w:t>P</w:t>
            </w:r>
            <w:r w:rsidRPr="00F65989">
              <w:rPr>
                <w:rFonts w:ascii="Arial" w:hAnsi="Arial" w:cs="Arial"/>
                <w:sz w:val="18"/>
                <w:szCs w:val="20"/>
              </w:rPr>
              <w:t>M at PPA Conference Room, PMO-Zamboanga del Norte, Port area, Dapitan City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AD04CF" w:rsidRPr="00F65989" w:rsidRDefault="00AD04CF" w:rsidP="00AD04CF">
            <w:pPr>
              <w:pStyle w:val="NoSpacing"/>
              <w:ind w:left="720"/>
              <w:jc w:val="both"/>
              <w:rPr>
                <w:rFonts w:ascii="Arial" w:hAnsi="Arial" w:cs="Arial"/>
                <w:sz w:val="18"/>
                <w:szCs w:val="20"/>
              </w:rPr>
            </w:pPr>
            <w:bookmarkStart w:id="0" w:name="_GoBack"/>
            <w:bookmarkEnd w:id="0"/>
          </w:p>
          <w:p w:rsidR="00AD04CF" w:rsidRPr="00F65989" w:rsidRDefault="00AD04CF" w:rsidP="00AD04CF">
            <w:pPr>
              <w:pStyle w:val="NoSpacing"/>
              <w:ind w:left="720"/>
              <w:jc w:val="both"/>
              <w:rPr>
                <w:rFonts w:ascii="Arial" w:hAnsi="Arial" w:cs="Arial"/>
                <w:sz w:val="18"/>
                <w:szCs w:val="20"/>
              </w:rPr>
            </w:pPr>
          </w:p>
          <w:p w:rsidR="006838AD" w:rsidRDefault="006838AD" w:rsidP="00AD04CF">
            <w:pPr>
              <w:pStyle w:val="NoSpacing"/>
              <w:jc w:val="both"/>
              <w:rPr>
                <w:rFonts w:ascii="Arial" w:hAnsi="Arial" w:cs="Arial"/>
                <w:b/>
                <w:sz w:val="18"/>
                <w:szCs w:val="20"/>
              </w:rPr>
            </w:pPr>
          </w:p>
          <w:p w:rsidR="00AD04CF" w:rsidRPr="00F65989" w:rsidRDefault="006838AD" w:rsidP="00AD04CF">
            <w:pPr>
              <w:pStyle w:val="NoSpacing"/>
              <w:jc w:val="both"/>
              <w:rPr>
                <w:rFonts w:ascii="Arial" w:hAnsi="Arial" w:cs="Arial"/>
                <w:b/>
                <w:sz w:val="18"/>
                <w:szCs w:val="20"/>
              </w:rPr>
            </w:pPr>
            <w:r>
              <w:rPr>
                <w:rFonts w:ascii="Arial" w:hAnsi="Arial" w:cs="Arial"/>
                <w:b/>
                <w:sz w:val="18"/>
                <w:szCs w:val="20"/>
              </w:rPr>
              <w:t xml:space="preserve">(SGD) </w:t>
            </w:r>
            <w:r w:rsidR="00AD04CF" w:rsidRPr="00F65989">
              <w:rPr>
                <w:rFonts w:ascii="Arial" w:hAnsi="Arial" w:cs="Arial"/>
                <w:b/>
                <w:sz w:val="18"/>
                <w:szCs w:val="20"/>
              </w:rPr>
              <w:t>ENGR. ABDURASAD S. HASAN</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BAC Chairperson for Infrastructure Projects</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For further information, please refer to:</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The BAC Secretariat for Infrastructure Projects or The ESD Office</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Tel No. (065) 213-6595, (065) 213-6946</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Email Address:ppa.pmo.dapitan@gmail.com</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Date of Publication: </w:t>
            </w:r>
            <w:r w:rsidR="005F612B">
              <w:rPr>
                <w:rFonts w:ascii="Arial" w:hAnsi="Arial" w:cs="Arial"/>
                <w:sz w:val="18"/>
                <w:szCs w:val="20"/>
              </w:rPr>
              <w:t>May 12-18, 2017</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Website: www.ppa.com.ph</w:t>
            </w:r>
          </w:p>
          <w:p w:rsidR="00E67F11" w:rsidRDefault="00AD04CF" w:rsidP="001E4E3A">
            <w:pPr>
              <w:pStyle w:val="NoSpacing"/>
              <w:jc w:val="both"/>
              <w:rPr>
                <w:rFonts w:ascii="Arial" w:hAnsi="Arial" w:cs="Arial"/>
                <w:sz w:val="18"/>
                <w:szCs w:val="20"/>
              </w:rPr>
            </w:pPr>
            <w:r w:rsidRPr="00F65989">
              <w:rPr>
                <w:rFonts w:ascii="Arial" w:hAnsi="Arial" w:cs="Arial"/>
                <w:sz w:val="18"/>
                <w:szCs w:val="20"/>
              </w:rPr>
              <w:t>PhilGeps Website: www.philgeps.net</w:t>
            </w:r>
          </w:p>
          <w:p w:rsidR="003A0DE6" w:rsidRDefault="003A0DE6" w:rsidP="001E4E3A">
            <w:pPr>
              <w:pStyle w:val="NoSpacing"/>
              <w:jc w:val="both"/>
              <w:rPr>
                <w:rFonts w:ascii="Arial" w:hAnsi="Arial" w:cs="Arial"/>
                <w:sz w:val="18"/>
                <w:szCs w:val="20"/>
              </w:rPr>
            </w:pPr>
          </w:p>
          <w:p w:rsidR="00E67F11" w:rsidRPr="00F65989" w:rsidRDefault="00E67F11" w:rsidP="00223F58">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Default="000246B4" w:rsidP="000246B4">
            <w:pPr>
              <w:spacing w:after="0" w:line="240" w:lineRule="auto"/>
              <w:rPr>
                <w:rFonts w:ascii="Arial" w:eastAsia="Times New Roman" w:hAnsi="Arial" w:cs="Arial"/>
                <w:sz w:val="20"/>
                <w:szCs w:val="20"/>
              </w:rPr>
            </w:pPr>
          </w:p>
          <w:p w:rsidR="003A0DE6" w:rsidRDefault="003A0DE6" w:rsidP="000246B4">
            <w:pPr>
              <w:spacing w:after="0" w:line="240" w:lineRule="auto"/>
              <w:rPr>
                <w:rFonts w:ascii="Arial" w:eastAsia="Times New Roman" w:hAnsi="Arial" w:cs="Arial"/>
                <w:sz w:val="20"/>
                <w:szCs w:val="20"/>
              </w:rPr>
            </w:pPr>
          </w:p>
          <w:p w:rsidR="003A0DE6" w:rsidRPr="000246B4" w:rsidRDefault="003A0DE6"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50"/>
        </w:trPr>
        <w:tc>
          <w:tcPr>
            <w:tcW w:w="9285" w:type="dxa"/>
            <w:tcBorders>
              <w:top w:val="nil"/>
              <w:left w:val="nil"/>
              <w:bottom w:val="nil"/>
              <w:right w:val="nil"/>
            </w:tcBorders>
            <w:shd w:val="clear" w:color="auto" w:fill="auto"/>
            <w:noWrap/>
            <w:vAlign w:val="bottom"/>
            <w:hideMark/>
          </w:tcPr>
          <w:p w:rsidR="000246B4" w:rsidRPr="000246B4" w:rsidRDefault="003A0DE6" w:rsidP="000246B4">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737C3B">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bl>
    <w:p w:rsidR="007D325B" w:rsidRPr="00AD04CF" w:rsidRDefault="007D325B" w:rsidP="00AD04CF">
      <w:pPr>
        <w:spacing w:after="0" w:line="240" w:lineRule="auto"/>
        <w:jc w:val="both"/>
        <w:rPr>
          <w:rFonts w:ascii="Arial" w:eastAsia="Times New Roman" w:hAnsi="Arial" w:cs="Arial"/>
          <w:sz w:val="24"/>
          <w:szCs w:val="24"/>
        </w:rPr>
      </w:pPr>
    </w:p>
    <w:p w:rsidR="003B4BF2" w:rsidRPr="00C102B8" w:rsidRDefault="003B4BF2" w:rsidP="003B4BF2">
      <w:pPr>
        <w:pStyle w:val="NoSpacing"/>
        <w:ind w:left="720"/>
        <w:jc w:val="both"/>
        <w:rPr>
          <w:rFonts w:ascii="Arial" w:hAnsi="Arial" w:cs="Arial"/>
          <w:sz w:val="20"/>
          <w:szCs w:val="20"/>
        </w:rPr>
      </w:pP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p>
    <w:p w:rsidR="009B6F06" w:rsidRPr="00223C45" w:rsidRDefault="009B6F06" w:rsidP="009B6F06">
      <w:pPr>
        <w:spacing w:after="0" w:line="240" w:lineRule="auto"/>
        <w:jc w:val="both"/>
        <w:rPr>
          <w:rFonts w:ascii="Arial" w:eastAsia="Times New Roman" w:hAnsi="Arial" w:cs="Arial"/>
          <w:b/>
          <w:sz w:val="24"/>
          <w:szCs w:val="24"/>
        </w:rPr>
      </w:pPr>
    </w:p>
    <w:sectPr w:rsidR="009B6F06" w:rsidRPr="00223C45" w:rsidSect="00E67F11">
      <w:footerReference w:type="default" r:id="rId9"/>
      <w:pgSz w:w="12242" w:h="18722" w:code="10001"/>
      <w:pgMar w:top="1166"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A3" w:rsidRDefault="00A156A3" w:rsidP="00702AB0">
      <w:pPr>
        <w:spacing w:after="0" w:line="240" w:lineRule="auto"/>
      </w:pPr>
      <w:r>
        <w:separator/>
      </w:r>
    </w:p>
  </w:endnote>
  <w:endnote w:type="continuationSeparator" w:id="1">
    <w:p w:rsidR="00A156A3" w:rsidRDefault="00A156A3"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4692"/>
      <w:docPartObj>
        <w:docPartGallery w:val="Page Numbers (Bottom of Page)"/>
        <w:docPartUnique/>
      </w:docPartObj>
    </w:sdtPr>
    <w:sdtContent>
      <w:sdt>
        <w:sdtPr>
          <w:id w:val="28554693"/>
          <w:docPartObj>
            <w:docPartGallery w:val="Page Numbers (Top of Page)"/>
            <w:docPartUnique/>
          </w:docPartObj>
        </w:sdtPr>
        <w:sdtContent>
          <w:p w:rsidR="009B6F32" w:rsidRDefault="00DF5A24" w:rsidP="004F71A1">
            <w:pPr>
              <w:pStyle w:val="Footer"/>
              <w:jc w:val="center"/>
            </w:pPr>
          </w:p>
        </w:sdtContent>
      </w:sdt>
    </w:sdtContent>
  </w:sdt>
  <w:p w:rsidR="009B6F32" w:rsidRDefault="009B6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A3" w:rsidRDefault="00A156A3" w:rsidP="00702AB0">
      <w:pPr>
        <w:spacing w:after="0" w:line="240" w:lineRule="auto"/>
      </w:pPr>
      <w:r>
        <w:separator/>
      </w:r>
    </w:p>
  </w:footnote>
  <w:footnote w:type="continuationSeparator" w:id="1">
    <w:p w:rsidR="00A156A3" w:rsidRDefault="00A156A3"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702AB0"/>
    <w:rsid w:val="000246B4"/>
    <w:rsid w:val="000319BB"/>
    <w:rsid w:val="00047331"/>
    <w:rsid w:val="00050884"/>
    <w:rsid w:val="000549E0"/>
    <w:rsid w:val="000940EF"/>
    <w:rsid w:val="0009473B"/>
    <w:rsid w:val="00096A1C"/>
    <w:rsid w:val="000B3E3B"/>
    <w:rsid w:val="000C74B5"/>
    <w:rsid w:val="000D4E78"/>
    <w:rsid w:val="00105BAA"/>
    <w:rsid w:val="00135B5C"/>
    <w:rsid w:val="00152BA5"/>
    <w:rsid w:val="00173166"/>
    <w:rsid w:val="00177A54"/>
    <w:rsid w:val="0018630E"/>
    <w:rsid w:val="001B101E"/>
    <w:rsid w:val="001B3180"/>
    <w:rsid w:val="001B7317"/>
    <w:rsid w:val="001C24FC"/>
    <w:rsid w:val="001D3298"/>
    <w:rsid w:val="001E4E3A"/>
    <w:rsid w:val="00201B7F"/>
    <w:rsid w:val="00223C45"/>
    <w:rsid w:val="00223F58"/>
    <w:rsid w:val="00241BAC"/>
    <w:rsid w:val="0025398C"/>
    <w:rsid w:val="00287B41"/>
    <w:rsid w:val="00340007"/>
    <w:rsid w:val="00362002"/>
    <w:rsid w:val="00363B0D"/>
    <w:rsid w:val="00375E09"/>
    <w:rsid w:val="00397F27"/>
    <w:rsid w:val="003A0DE6"/>
    <w:rsid w:val="003A2AA2"/>
    <w:rsid w:val="003B43BB"/>
    <w:rsid w:val="003B4BF2"/>
    <w:rsid w:val="003B56B6"/>
    <w:rsid w:val="003C78C6"/>
    <w:rsid w:val="003D03E0"/>
    <w:rsid w:val="004111A9"/>
    <w:rsid w:val="004234FC"/>
    <w:rsid w:val="00493B9D"/>
    <w:rsid w:val="004E4EFF"/>
    <w:rsid w:val="004F2518"/>
    <w:rsid w:val="004F569C"/>
    <w:rsid w:val="004F71A1"/>
    <w:rsid w:val="00500F7C"/>
    <w:rsid w:val="00506766"/>
    <w:rsid w:val="00554B9E"/>
    <w:rsid w:val="00564A62"/>
    <w:rsid w:val="00565579"/>
    <w:rsid w:val="005805D6"/>
    <w:rsid w:val="00591284"/>
    <w:rsid w:val="005967C1"/>
    <w:rsid w:val="005C756D"/>
    <w:rsid w:val="005E03C9"/>
    <w:rsid w:val="005F612B"/>
    <w:rsid w:val="006075E5"/>
    <w:rsid w:val="00611488"/>
    <w:rsid w:val="006635BD"/>
    <w:rsid w:val="00664769"/>
    <w:rsid w:val="006666CE"/>
    <w:rsid w:val="006838AD"/>
    <w:rsid w:val="006906B0"/>
    <w:rsid w:val="00696DB3"/>
    <w:rsid w:val="00702AB0"/>
    <w:rsid w:val="0073207E"/>
    <w:rsid w:val="00737C3B"/>
    <w:rsid w:val="00743C0B"/>
    <w:rsid w:val="00784A7B"/>
    <w:rsid w:val="007A7683"/>
    <w:rsid w:val="007D2F81"/>
    <w:rsid w:val="007D325B"/>
    <w:rsid w:val="007F43E6"/>
    <w:rsid w:val="0080246D"/>
    <w:rsid w:val="0082772D"/>
    <w:rsid w:val="00831726"/>
    <w:rsid w:val="0087490B"/>
    <w:rsid w:val="008B20AA"/>
    <w:rsid w:val="008B76FA"/>
    <w:rsid w:val="008E4F5C"/>
    <w:rsid w:val="008F0135"/>
    <w:rsid w:val="008F6916"/>
    <w:rsid w:val="009124CB"/>
    <w:rsid w:val="00934984"/>
    <w:rsid w:val="00965DB0"/>
    <w:rsid w:val="009708D5"/>
    <w:rsid w:val="009B6F06"/>
    <w:rsid w:val="009B6F32"/>
    <w:rsid w:val="009C53C8"/>
    <w:rsid w:val="009D259D"/>
    <w:rsid w:val="00A156A3"/>
    <w:rsid w:val="00A22D26"/>
    <w:rsid w:val="00A231C4"/>
    <w:rsid w:val="00A37425"/>
    <w:rsid w:val="00A553FB"/>
    <w:rsid w:val="00A942FF"/>
    <w:rsid w:val="00AD04CF"/>
    <w:rsid w:val="00AD05C9"/>
    <w:rsid w:val="00AE54CC"/>
    <w:rsid w:val="00B21142"/>
    <w:rsid w:val="00B22761"/>
    <w:rsid w:val="00B30F69"/>
    <w:rsid w:val="00B43461"/>
    <w:rsid w:val="00B700D5"/>
    <w:rsid w:val="00B70B93"/>
    <w:rsid w:val="00B76AB4"/>
    <w:rsid w:val="00B96DF8"/>
    <w:rsid w:val="00BA647B"/>
    <w:rsid w:val="00BB5BC6"/>
    <w:rsid w:val="00BC2A90"/>
    <w:rsid w:val="00BC3569"/>
    <w:rsid w:val="00C049B8"/>
    <w:rsid w:val="00C102B8"/>
    <w:rsid w:val="00C74219"/>
    <w:rsid w:val="00C826D3"/>
    <w:rsid w:val="00C95C09"/>
    <w:rsid w:val="00CB1299"/>
    <w:rsid w:val="00CE25E4"/>
    <w:rsid w:val="00CE33B5"/>
    <w:rsid w:val="00D05D2C"/>
    <w:rsid w:val="00D25F42"/>
    <w:rsid w:val="00D30BC6"/>
    <w:rsid w:val="00DB7611"/>
    <w:rsid w:val="00DD416B"/>
    <w:rsid w:val="00DD7A88"/>
    <w:rsid w:val="00DE33E8"/>
    <w:rsid w:val="00DF579C"/>
    <w:rsid w:val="00DF5A24"/>
    <w:rsid w:val="00E50994"/>
    <w:rsid w:val="00E67F11"/>
    <w:rsid w:val="00E77008"/>
    <w:rsid w:val="00E86E15"/>
    <w:rsid w:val="00E96806"/>
    <w:rsid w:val="00EF76D4"/>
    <w:rsid w:val="00F3321C"/>
    <w:rsid w:val="00F54A67"/>
    <w:rsid w:val="00F60509"/>
    <w:rsid w:val="00F65989"/>
    <w:rsid w:val="00F67BBA"/>
    <w:rsid w:val="00F928B0"/>
    <w:rsid w:val="00FC3542"/>
    <w:rsid w:val="00FD434D"/>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390617306">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958298404">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58DC-B90B-41F1-BA56-B0D68B6A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10</cp:revision>
  <cp:lastPrinted>2017-05-12T00:30:00Z</cp:lastPrinted>
  <dcterms:created xsi:type="dcterms:W3CDTF">2017-05-12T00:21:00Z</dcterms:created>
  <dcterms:modified xsi:type="dcterms:W3CDTF">2017-05-11T09:40:00Z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-244327307</vt:i4>
  </property>
</Properties>
</file>