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14:anchorId="4036ADCC" wp14:editId="0CB62F26">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0440CA">
      <w:pPr>
        <w:jc w:val="center"/>
        <w:rPr>
          <w:rFonts w:ascii="Arial" w:hAnsi="Arial" w:cs="Arial"/>
          <w:sz w:val="16"/>
          <w:szCs w:val="16"/>
        </w:rPr>
      </w:pPr>
      <w:r>
        <w:rPr>
          <w:rFonts w:ascii="Arial" w:hAnsi="Arial" w:cs="Arial"/>
          <w:sz w:val="16"/>
          <w:szCs w:val="16"/>
        </w:rPr>
        <w:t xml:space="preserve">Regional Center, </w:t>
      </w:r>
      <w:proofErr w:type="spellStart"/>
      <w:r>
        <w:rPr>
          <w:rFonts w:ascii="Arial" w:hAnsi="Arial" w:cs="Arial"/>
          <w:sz w:val="16"/>
          <w:szCs w:val="16"/>
        </w:rPr>
        <w:t>Rawis</w:t>
      </w:r>
      <w:proofErr w:type="spellEnd"/>
      <w:r>
        <w:rPr>
          <w:rFonts w:ascii="Arial" w:hAnsi="Arial" w:cs="Arial"/>
          <w:sz w:val="16"/>
          <w:szCs w:val="16"/>
        </w:rPr>
        <w:t xml:space="preserve">, </w:t>
      </w:r>
      <w:proofErr w:type="spellStart"/>
      <w:r>
        <w:rPr>
          <w:rFonts w:ascii="Arial" w:hAnsi="Arial" w:cs="Arial"/>
          <w:sz w:val="16"/>
          <w:szCs w:val="16"/>
        </w:rPr>
        <w:t>Lega</w:t>
      </w:r>
      <w:r w:rsidR="00CD74E6">
        <w:rPr>
          <w:rFonts w:ascii="Arial" w:hAnsi="Arial" w:cs="Arial"/>
          <w:sz w:val="16"/>
          <w:szCs w:val="16"/>
        </w:rPr>
        <w:t>z</w:t>
      </w:r>
      <w:r>
        <w:rPr>
          <w:rFonts w:ascii="Arial" w:hAnsi="Arial" w:cs="Arial"/>
          <w:sz w:val="16"/>
          <w:szCs w:val="16"/>
        </w:rPr>
        <w:t>pi</w:t>
      </w:r>
      <w:proofErr w:type="spellEnd"/>
      <w:r>
        <w:rPr>
          <w:rFonts w:ascii="Arial" w:hAnsi="Arial" w:cs="Arial"/>
          <w:sz w:val="16"/>
          <w:szCs w:val="16"/>
        </w:rPr>
        <w:t xml:space="preserve"> City 4500</w:t>
      </w:r>
    </w:p>
    <w:p w:rsidR="000440CA" w:rsidRDefault="00534E1B" w:rsidP="000440CA">
      <w:pPr>
        <w:tabs>
          <w:tab w:val="center" w:pos="4680"/>
          <w:tab w:val="left" w:pos="5785"/>
        </w:tabs>
        <w:jc w:val="center"/>
        <w:rPr>
          <w:rFonts w:ascii="Arial" w:hAnsi="Arial" w:cs="Arial"/>
          <w:sz w:val="16"/>
          <w:szCs w:val="16"/>
        </w:rPr>
      </w:pPr>
      <w:r>
        <w:rPr>
          <w:rFonts w:ascii="Arial" w:hAnsi="Arial" w:cs="Arial"/>
          <w:sz w:val="16"/>
          <w:szCs w:val="16"/>
        </w:rPr>
        <w:t>Telefax (052) 482-0404</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576"/>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34538C">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 xml:space="preserve">The Philippine Ports Authority, Port Management Office of Bicol, through its Bids and Awards Committee for Engineering Projects, invites </w:t>
      </w:r>
      <w:proofErr w:type="spellStart"/>
      <w:r w:rsidR="00456C45">
        <w:rPr>
          <w:rFonts w:ascii="Arial" w:hAnsi="Arial" w:cs="Arial"/>
          <w:b w:val="0"/>
          <w:sz w:val="22"/>
          <w:szCs w:val="22"/>
        </w:rPr>
        <w:t>PhilGEPS</w:t>
      </w:r>
      <w:proofErr w:type="spellEnd"/>
      <w:r w:rsidR="00456C45">
        <w:rPr>
          <w:rFonts w:ascii="Arial" w:hAnsi="Arial" w:cs="Arial"/>
          <w:b w:val="0"/>
          <w:sz w:val="22"/>
          <w:szCs w:val="22"/>
        </w:rPr>
        <w:t xml:space="preserve"> registered </w:t>
      </w:r>
      <w:r>
        <w:rPr>
          <w:rFonts w:ascii="Arial" w:hAnsi="Arial" w:cs="Arial"/>
          <w:b w:val="0"/>
          <w:sz w:val="22"/>
          <w:szCs w:val="22"/>
        </w:rPr>
        <w:t>contractors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B51557" w:rsidRDefault="00B57F99" w:rsidP="00B51557">
            <w:pPr>
              <w:pStyle w:val="Title"/>
              <w:jc w:val="both"/>
              <w:rPr>
                <w:rFonts w:ascii="Arial" w:hAnsi="Arial" w:cs="Arial"/>
                <w:sz w:val="22"/>
              </w:rPr>
            </w:pPr>
            <w:r w:rsidRPr="006D46DE">
              <w:rPr>
                <w:rFonts w:ascii="Arial" w:hAnsi="Arial" w:cs="Arial"/>
                <w:sz w:val="22"/>
              </w:rPr>
              <w:t xml:space="preserve">Name of Project: </w:t>
            </w:r>
            <w:r w:rsidR="000D199C">
              <w:rPr>
                <w:rFonts w:ascii="Arial" w:hAnsi="Arial" w:cs="Arial"/>
                <w:sz w:val="22"/>
              </w:rPr>
              <w:t xml:space="preserve">REPAIR OF </w:t>
            </w:r>
            <w:r w:rsidR="00B51557">
              <w:rPr>
                <w:rFonts w:ascii="Arial" w:hAnsi="Arial" w:cs="Arial"/>
                <w:sz w:val="22"/>
              </w:rPr>
              <w:t>DAMAGED PORT FACILITIES, PORT OF MATNOG,</w:t>
            </w:r>
          </w:p>
          <w:p w:rsidR="00B57F99" w:rsidRPr="006D46DE" w:rsidRDefault="00B51557" w:rsidP="00B51557">
            <w:pPr>
              <w:pStyle w:val="Title"/>
              <w:jc w:val="both"/>
              <w:rPr>
                <w:rFonts w:ascii="Arial" w:hAnsi="Arial" w:cs="Arial"/>
                <w:sz w:val="22"/>
              </w:rPr>
            </w:pPr>
            <w:r>
              <w:rPr>
                <w:rFonts w:ascii="Arial" w:hAnsi="Arial" w:cs="Arial"/>
                <w:sz w:val="22"/>
              </w:rPr>
              <w:t xml:space="preserve">                             SORSOGON</w:t>
            </w:r>
            <w:r w:rsidR="000D199C">
              <w:rPr>
                <w:rFonts w:ascii="Arial" w:hAnsi="Arial" w:cs="Arial"/>
                <w:sz w:val="22"/>
              </w:rPr>
              <w:t xml:space="preserve"> </w:t>
            </w:r>
            <w:r w:rsidR="006D46DE">
              <w:rPr>
                <w:rFonts w:ascii="Arial" w:hAnsi="Arial" w:cs="Arial"/>
                <w:sz w:val="22"/>
              </w:rPr>
              <w:t xml:space="preserve"> </w:t>
            </w:r>
            <w:r w:rsidR="00804C33" w:rsidRPr="006D46DE">
              <w:rPr>
                <w:rFonts w:ascii="Arial" w:hAnsi="Arial" w:cs="Arial"/>
                <w:sz w:val="22"/>
              </w:rPr>
              <w:t xml:space="preserve">                    </w:t>
            </w:r>
          </w:p>
        </w:tc>
      </w:tr>
      <w:tr w:rsidR="00B57F99" w:rsidTr="00B57F99">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II.</w:t>
            </w:r>
            <w:proofErr w:type="gramEnd"/>
            <w:r>
              <w:rPr>
                <w:rFonts w:ascii="Arial" w:hAnsi="Arial" w:cs="Arial"/>
                <w:b w:val="0"/>
                <w:sz w:val="22"/>
              </w:rPr>
              <w:t xml:space="preserve"> </w:t>
            </w:r>
          </w:p>
        </w:tc>
        <w:tc>
          <w:tcPr>
            <w:tcW w:w="8968" w:type="dxa"/>
          </w:tcPr>
          <w:p w:rsidR="00B57F99" w:rsidRDefault="00B57F99" w:rsidP="006D46DE">
            <w:pPr>
              <w:pStyle w:val="Title"/>
              <w:jc w:val="both"/>
              <w:rPr>
                <w:rFonts w:ascii="Arial" w:hAnsi="Arial" w:cs="Arial"/>
                <w:b w:val="0"/>
                <w:sz w:val="22"/>
              </w:rPr>
            </w:pPr>
            <w:r>
              <w:rPr>
                <w:rFonts w:ascii="Arial" w:hAnsi="Arial" w:cs="Arial"/>
                <w:b w:val="0"/>
                <w:sz w:val="22"/>
              </w:rPr>
              <w:t xml:space="preserve">Contract No.: </w:t>
            </w:r>
            <w:r w:rsidR="00356695">
              <w:rPr>
                <w:rFonts w:ascii="Arial" w:hAnsi="Arial" w:cs="Arial"/>
                <w:sz w:val="22"/>
              </w:rPr>
              <w:t>BCL</w:t>
            </w:r>
            <w:r w:rsidR="00B51557">
              <w:rPr>
                <w:rFonts w:ascii="Arial" w:hAnsi="Arial" w:cs="Arial"/>
                <w:sz w:val="22"/>
              </w:rPr>
              <w:t xml:space="preserve"> 1713</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I</w:t>
            </w:r>
            <w:r>
              <w:rPr>
                <w:rFonts w:ascii="Arial" w:hAnsi="Arial" w:cs="Arial"/>
                <w:b w:val="0"/>
                <w:sz w:val="22"/>
              </w:rPr>
              <w:t>I.</w:t>
            </w:r>
            <w:proofErr w:type="gramEnd"/>
          </w:p>
        </w:tc>
        <w:tc>
          <w:tcPr>
            <w:tcW w:w="8968" w:type="dxa"/>
            <w:hideMark/>
          </w:tcPr>
          <w:p w:rsidR="00B57F99" w:rsidRDefault="00B57F99" w:rsidP="00B51557">
            <w:pPr>
              <w:pStyle w:val="Title"/>
              <w:jc w:val="both"/>
              <w:rPr>
                <w:rFonts w:ascii="Arial" w:hAnsi="Arial" w:cs="Arial"/>
                <w:b w:val="0"/>
                <w:sz w:val="22"/>
              </w:rPr>
            </w:pPr>
            <w:r>
              <w:rPr>
                <w:rFonts w:ascii="Arial" w:hAnsi="Arial" w:cs="Arial"/>
                <w:b w:val="0"/>
                <w:sz w:val="22"/>
              </w:rPr>
              <w:t xml:space="preserve">Location of </w:t>
            </w:r>
            <w:proofErr w:type="gramStart"/>
            <w:r>
              <w:rPr>
                <w:rFonts w:ascii="Arial" w:hAnsi="Arial" w:cs="Arial"/>
                <w:b w:val="0"/>
                <w:sz w:val="22"/>
              </w:rPr>
              <w:t>Project :</w:t>
            </w:r>
            <w:proofErr w:type="gramEnd"/>
            <w:r>
              <w:rPr>
                <w:rFonts w:ascii="Arial" w:hAnsi="Arial" w:cs="Arial"/>
                <w:b w:val="0"/>
                <w:sz w:val="22"/>
              </w:rPr>
              <w:t xml:space="preserve"> Port of</w:t>
            </w:r>
            <w:r w:rsidR="00B1774B">
              <w:rPr>
                <w:rFonts w:ascii="Arial" w:hAnsi="Arial" w:cs="Arial"/>
                <w:b w:val="0"/>
                <w:sz w:val="22"/>
              </w:rPr>
              <w:t xml:space="preserve"> </w:t>
            </w:r>
            <w:proofErr w:type="spellStart"/>
            <w:r w:rsidR="00B51557">
              <w:rPr>
                <w:rFonts w:ascii="Arial" w:hAnsi="Arial" w:cs="Arial"/>
                <w:b w:val="0"/>
                <w:sz w:val="22"/>
              </w:rPr>
              <w:t>Matnog</w:t>
            </w:r>
            <w:proofErr w:type="spellEnd"/>
            <w:r w:rsidR="00B51557">
              <w:rPr>
                <w:rFonts w:ascii="Arial" w:hAnsi="Arial" w:cs="Arial"/>
                <w:b w:val="0"/>
                <w:sz w:val="22"/>
              </w:rPr>
              <w:t xml:space="preserve">, </w:t>
            </w:r>
            <w:proofErr w:type="spellStart"/>
            <w:r w:rsidR="00B51557">
              <w:rPr>
                <w:rFonts w:ascii="Arial" w:hAnsi="Arial" w:cs="Arial"/>
                <w:b w:val="0"/>
                <w:sz w:val="22"/>
              </w:rPr>
              <w:t>Sorsogon</w:t>
            </w:r>
            <w:proofErr w:type="spellEnd"/>
          </w:p>
        </w:tc>
      </w:tr>
      <w:tr w:rsidR="00B57F99" w:rsidTr="00B57F99">
        <w:tc>
          <w:tcPr>
            <w:tcW w:w="608" w:type="dxa"/>
            <w:hideMark/>
          </w:tcPr>
          <w:p w:rsidR="00B57F99" w:rsidRDefault="00B57F99" w:rsidP="00A423E6">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V</w:t>
            </w:r>
            <w:r>
              <w:rPr>
                <w:rFonts w:ascii="Arial" w:hAnsi="Arial" w:cs="Arial"/>
                <w:b w:val="0"/>
                <w:sz w:val="22"/>
              </w:rPr>
              <w:t>.</w:t>
            </w:r>
            <w:proofErr w:type="gramEnd"/>
          </w:p>
        </w:tc>
        <w:tc>
          <w:tcPr>
            <w:tcW w:w="8968" w:type="dxa"/>
            <w:hideMark/>
          </w:tcPr>
          <w:p w:rsidR="00B57F99" w:rsidRDefault="00B57F99" w:rsidP="00B51557">
            <w:pPr>
              <w:pStyle w:val="Title"/>
              <w:jc w:val="both"/>
              <w:rPr>
                <w:rFonts w:ascii="Arial" w:hAnsi="Arial" w:cs="Arial"/>
                <w:b w:val="0"/>
                <w:sz w:val="22"/>
              </w:rPr>
            </w:pPr>
            <w:r>
              <w:rPr>
                <w:rFonts w:ascii="Arial" w:hAnsi="Arial" w:cs="Arial"/>
                <w:b w:val="0"/>
                <w:sz w:val="22"/>
              </w:rPr>
              <w:t>Project Description: The project</w:t>
            </w:r>
            <w:r w:rsidR="00F45660">
              <w:rPr>
                <w:rFonts w:ascii="Arial" w:hAnsi="Arial" w:cs="Arial"/>
                <w:b w:val="0"/>
                <w:sz w:val="22"/>
              </w:rPr>
              <w:t xml:space="preserve"> </w:t>
            </w:r>
            <w:r>
              <w:rPr>
                <w:rFonts w:ascii="Arial" w:hAnsi="Arial" w:cs="Arial"/>
                <w:b w:val="0"/>
                <w:sz w:val="22"/>
              </w:rPr>
              <w:t>involves</w:t>
            </w:r>
            <w:r w:rsidR="008B6BCE">
              <w:rPr>
                <w:rFonts w:ascii="Arial" w:hAnsi="Arial" w:cs="Arial"/>
                <w:b w:val="0"/>
                <w:sz w:val="22"/>
              </w:rPr>
              <w:t xml:space="preserve"> </w:t>
            </w:r>
            <w:r w:rsidR="000D199C">
              <w:rPr>
                <w:rFonts w:ascii="Arial" w:hAnsi="Arial" w:cs="Arial"/>
                <w:b w:val="0"/>
                <w:sz w:val="22"/>
              </w:rPr>
              <w:t xml:space="preserve">the repair of </w:t>
            </w:r>
            <w:r w:rsidR="00B51557">
              <w:rPr>
                <w:rFonts w:ascii="Arial" w:hAnsi="Arial" w:cs="Arial"/>
                <w:b w:val="0"/>
                <w:sz w:val="22"/>
              </w:rPr>
              <w:t xml:space="preserve">RORO Ramp Nos. 4 and 5, drainage system, fence, steel gate, RC Curb, Fender System, and Mooring Bollard. </w:t>
            </w:r>
          </w:p>
        </w:tc>
      </w:tr>
      <w:tr w:rsidR="00B57F99" w:rsidTr="00B57F99">
        <w:tc>
          <w:tcPr>
            <w:tcW w:w="608" w:type="dxa"/>
            <w:hideMark/>
          </w:tcPr>
          <w:p w:rsidR="00B57F99" w:rsidRDefault="00B57F99" w:rsidP="001D133F">
            <w:pPr>
              <w:pStyle w:val="Title"/>
              <w:jc w:val="both"/>
              <w:rPr>
                <w:rFonts w:ascii="Arial" w:hAnsi="Arial" w:cs="Arial"/>
                <w:b w:val="0"/>
                <w:sz w:val="22"/>
              </w:rPr>
            </w:pPr>
            <w:r>
              <w:rPr>
                <w:rFonts w:ascii="Arial" w:hAnsi="Arial" w:cs="Arial"/>
                <w:b w:val="0"/>
                <w:sz w:val="22"/>
              </w:rPr>
              <w:t>V</w:t>
            </w:r>
            <w:r w:rsidR="00711976">
              <w:rPr>
                <w:rFonts w:ascii="Arial" w:hAnsi="Arial" w:cs="Arial"/>
                <w:b w:val="0"/>
                <w:sz w:val="22"/>
              </w:rPr>
              <w:t>.</w:t>
            </w:r>
          </w:p>
        </w:tc>
        <w:tc>
          <w:tcPr>
            <w:tcW w:w="8968" w:type="dxa"/>
            <w:hideMark/>
          </w:tcPr>
          <w:p w:rsidR="008C54C5" w:rsidRDefault="00B57F99" w:rsidP="006A51E7">
            <w:pPr>
              <w:pStyle w:val="Title"/>
              <w:jc w:val="both"/>
              <w:rPr>
                <w:rFonts w:ascii="Arial" w:hAnsi="Arial" w:cs="Arial"/>
                <w:b w:val="0"/>
                <w:sz w:val="22"/>
              </w:rPr>
            </w:pPr>
            <w:r>
              <w:rPr>
                <w:rFonts w:ascii="Arial" w:hAnsi="Arial" w:cs="Arial"/>
                <w:b w:val="0"/>
                <w:sz w:val="22"/>
              </w:rPr>
              <w:t>Equipment Required:</w:t>
            </w:r>
            <w:r w:rsidR="007F4ED2">
              <w:rPr>
                <w:rFonts w:ascii="Arial" w:hAnsi="Arial" w:cs="Arial"/>
                <w:b w:val="0"/>
                <w:sz w:val="22"/>
              </w:rPr>
              <w:t xml:space="preserve"> </w:t>
            </w:r>
            <w:r w:rsidR="006A51E7">
              <w:rPr>
                <w:rFonts w:ascii="Arial" w:hAnsi="Arial" w:cs="Arial"/>
                <w:b w:val="0"/>
                <w:sz w:val="22"/>
              </w:rPr>
              <w:t xml:space="preserve">Jackhammer, Air Compressor, Oxy/Acetylene Outfit, Concrete Cutter, Dump Truck, </w:t>
            </w:r>
            <w:proofErr w:type="spellStart"/>
            <w:r w:rsidR="006A51E7">
              <w:rPr>
                <w:rFonts w:ascii="Arial" w:hAnsi="Arial" w:cs="Arial"/>
                <w:b w:val="0"/>
                <w:sz w:val="22"/>
              </w:rPr>
              <w:t>Payloader</w:t>
            </w:r>
            <w:proofErr w:type="spellEnd"/>
            <w:r w:rsidR="006A51E7">
              <w:rPr>
                <w:rFonts w:ascii="Arial" w:hAnsi="Arial" w:cs="Arial"/>
                <w:b w:val="0"/>
                <w:sz w:val="22"/>
              </w:rPr>
              <w:t xml:space="preserve">, Bar Cutter, Bar Bender, One-bagger Concrete Mixer, </w:t>
            </w:r>
          </w:p>
          <w:p w:rsidR="00711976" w:rsidRDefault="006A51E7" w:rsidP="00A02261">
            <w:pPr>
              <w:pStyle w:val="Title"/>
              <w:jc w:val="both"/>
              <w:rPr>
                <w:rFonts w:ascii="Arial" w:hAnsi="Arial" w:cs="Arial"/>
                <w:b w:val="0"/>
                <w:sz w:val="22"/>
              </w:rPr>
            </w:pPr>
            <w:r>
              <w:rPr>
                <w:rFonts w:ascii="Arial" w:hAnsi="Arial" w:cs="Arial"/>
                <w:b w:val="0"/>
                <w:sz w:val="22"/>
              </w:rPr>
              <w:t xml:space="preserve">Concrete Vibrator, Water Truck, </w:t>
            </w:r>
            <w:r w:rsidR="00B51557">
              <w:rPr>
                <w:rFonts w:ascii="Arial" w:hAnsi="Arial" w:cs="Arial"/>
                <w:b w:val="0"/>
                <w:sz w:val="22"/>
              </w:rPr>
              <w:t>Boom Truck</w:t>
            </w:r>
            <w:r w:rsidR="00F57F01">
              <w:rPr>
                <w:rFonts w:ascii="Arial" w:hAnsi="Arial" w:cs="Arial"/>
                <w:b w:val="0"/>
                <w:sz w:val="22"/>
              </w:rPr>
              <w:t>.</w:t>
            </w:r>
          </w:p>
        </w:tc>
      </w:tr>
      <w:tr w:rsidR="00B57F99" w:rsidTr="00D3749F">
        <w:tc>
          <w:tcPr>
            <w:tcW w:w="608" w:type="dxa"/>
            <w:hideMark/>
          </w:tcPr>
          <w:p w:rsidR="00B57F99" w:rsidRDefault="00B57F99" w:rsidP="001D133F">
            <w:pPr>
              <w:pStyle w:val="Title"/>
              <w:jc w:val="both"/>
              <w:rPr>
                <w:rFonts w:ascii="Arial" w:hAnsi="Arial" w:cs="Arial"/>
                <w:b w:val="0"/>
                <w:sz w:val="22"/>
              </w:rPr>
            </w:pPr>
            <w:proofErr w:type="gramStart"/>
            <w:r>
              <w:rPr>
                <w:rFonts w:ascii="Arial" w:hAnsi="Arial" w:cs="Arial"/>
                <w:b w:val="0"/>
                <w:sz w:val="22"/>
              </w:rPr>
              <w:t>V</w:t>
            </w:r>
            <w:r w:rsidR="00711976">
              <w:rPr>
                <w:rFonts w:ascii="Arial" w:hAnsi="Arial" w:cs="Arial"/>
                <w:b w:val="0"/>
                <w:sz w:val="22"/>
              </w:rPr>
              <w:t>I</w:t>
            </w:r>
            <w:r>
              <w:rPr>
                <w:rFonts w:ascii="Arial" w:hAnsi="Arial" w:cs="Arial"/>
                <w:b w:val="0"/>
                <w:sz w:val="22"/>
              </w:rPr>
              <w:t>.</w:t>
            </w:r>
            <w:proofErr w:type="gramEnd"/>
            <w:r>
              <w:rPr>
                <w:rFonts w:ascii="Arial" w:hAnsi="Arial" w:cs="Arial"/>
                <w:b w:val="0"/>
                <w:sz w:val="22"/>
              </w:rPr>
              <w:t xml:space="preserve"> </w:t>
            </w:r>
          </w:p>
        </w:tc>
        <w:tc>
          <w:tcPr>
            <w:tcW w:w="8968" w:type="dxa"/>
            <w:hideMark/>
          </w:tcPr>
          <w:p w:rsidR="00AD10FA" w:rsidRDefault="00A423E6" w:rsidP="00AD10FA">
            <w:pPr>
              <w:pStyle w:val="Title"/>
              <w:jc w:val="both"/>
              <w:rPr>
                <w:rFonts w:ascii="Arial" w:hAnsi="Arial" w:cs="Arial"/>
                <w:b w:val="0"/>
                <w:sz w:val="22"/>
              </w:rPr>
            </w:pPr>
            <w:r>
              <w:rPr>
                <w:rFonts w:ascii="Arial" w:hAnsi="Arial" w:cs="Arial"/>
                <w:b w:val="0"/>
                <w:sz w:val="22"/>
              </w:rPr>
              <w:t xml:space="preserve">Pre-bid Conference: </w:t>
            </w:r>
            <w:r w:rsidR="006A51E7">
              <w:rPr>
                <w:rFonts w:ascii="Arial" w:hAnsi="Arial" w:cs="Arial"/>
                <w:b w:val="0"/>
                <w:sz w:val="22"/>
              </w:rPr>
              <w:t xml:space="preserve">December 27, 2017 </w:t>
            </w:r>
            <w:r>
              <w:rPr>
                <w:rFonts w:ascii="Arial" w:hAnsi="Arial" w:cs="Arial"/>
                <w:b w:val="0"/>
                <w:sz w:val="22"/>
              </w:rPr>
              <w:t>(2:00 PM)</w:t>
            </w:r>
            <w:r w:rsidR="00AD10FA">
              <w:rPr>
                <w:rFonts w:ascii="Arial" w:hAnsi="Arial" w:cs="Arial"/>
                <w:b w:val="0"/>
                <w:sz w:val="22"/>
              </w:rPr>
              <w:t xml:space="preserve"> at the PMO Bicol Conference Room</w:t>
            </w:r>
          </w:p>
          <w:p w:rsidR="00B57F99" w:rsidRDefault="00AD10FA" w:rsidP="00AD10FA">
            <w:pPr>
              <w:pStyle w:val="Title"/>
              <w:jc w:val="both"/>
              <w:rPr>
                <w:rFonts w:ascii="Arial" w:hAnsi="Arial" w:cs="Arial"/>
                <w:b w:val="0"/>
                <w:sz w:val="22"/>
              </w:rPr>
            </w:pPr>
            <w:r>
              <w:rPr>
                <w:rFonts w:ascii="Arial" w:hAnsi="Arial" w:cs="Arial"/>
                <w:b w:val="0"/>
                <w:sz w:val="22"/>
              </w:rPr>
              <w:t xml:space="preserve">                                 (O</w:t>
            </w:r>
            <w:r w:rsidR="00A423E6">
              <w:rPr>
                <w:rFonts w:ascii="Arial" w:hAnsi="Arial" w:cs="Arial"/>
                <w:b w:val="0"/>
                <w:sz w:val="22"/>
              </w:rPr>
              <w:t>pen only to parties who had purchased</w:t>
            </w:r>
            <w:r>
              <w:rPr>
                <w:rFonts w:ascii="Arial" w:hAnsi="Arial" w:cs="Arial"/>
                <w:b w:val="0"/>
                <w:sz w:val="22"/>
              </w:rPr>
              <w:t xml:space="preserve"> </w:t>
            </w:r>
            <w:r w:rsidR="00A423E6">
              <w:rPr>
                <w:rFonts w:ascii="Arial" w:hAnsi="Arial" w:cs="Arial"/>
                <w:b w:val="0"/>
                <w:sz w:val="22"/>
              </w:rPr>
              <w:t>bid documents</w:t>
            </w:r>
            <w:r>
              <w:rPr>
                <w:rFonts w:ascii="Arial" w:hAnsi="Arial" w:cs="Arial"/>
                <w:b w:val="0"/>
                <w:sz w:val="22"/>
              </w:rPr>
              <w:t xml:space="preserve">.) </w:t>
            </w:r>
            <w:r w:rsidR="00A423E6">
              <w:rPr>
                <w:rFonts w:ascii="Arial" w:hAnsi="Arial" w:cs="Arial"/>
                <w:b w:val="0"/>
                <w:sz w:val="22"/>
              </w:rPr>
              <w:t xml:space="preserve"> </w:t>
            </w:r>
          </w:p>
        </w:tc>
      </w:tr>
      <w:tr w:rsidR="00B57F99" w:rsidTr="00D3749F">
        <w:trPr>
          <w:trHeight w:val="412"/>
        </w:trPr>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VI</w:t>
            </w:r>
            <w:r w:rsidR="00711976">
              <w:rPr>
                <w:rFonts w:ascii="Arial" w:hAnsi="Arial" w:cs="Arial"/>
                <w:b w:val="0"/>
                <w:sz w:val="22"/>
              </w:rPr>
              <w:t>I</w:t>
            </w:r>
            <w:r>
              <w:rPr>
                <w:rFonts w:ascii="Arial" w:hAnsi="Arial" w:cs="Arial"/>
                <w:b w:val="0"/>
                <w:sz w:val="22"/>
              </w:rPr>
              <w:t>.</w:t>
            </w:r>
            <w:proofErr w:type="gramEnd"/>
          </w:p>
          <w:p w:rsidR="00B57F99" w:rsidRDefault="00B57F99">
            <w:pPr>
              <w:pStyle w:val="Title"/>
              <w:jc w:val="both"/>
              <w:rPr>
                <w:rFonts w:ascii="Arial" w:hAnsi="Arial" w:cs="Arial"/>
                <w:b w:val="0"/>
                <w:sz w:val="22"/>
              </w:rPr>
            </w:pPr>
          </w:p>
        </w:tc>
        <w:tc>
          <w:tcPr>
            <w:tcW w:w="8968" w:type="dxa"/>
            <w:hideMark/>
          </w:tcPr>
          <w:p w:rsidR="00E40F3E" w:rsidRDefault="00B57F99" w:rsidP="00D3749F">
            <w:pPr>
              <w:pStyle w:val="Title"/>
              <w:jc w:val="both"/>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p>
          <w:p w:rsidR="00AC2CE7" w:rsidRDefault="00E40F3E" w:rsidP="0007692D">
            <w:pPr>
              <w:pStyle w:val="Title"/>
              <w:jc w:val="both"/>
              <w:rPr>
                <w:rFonts w:ascii="Arial" w:hAnsi="Arial" w:cs="Arial"/>
                <w:b w:val="0"/>
                <w:sz w:val="22"/>
              </w:rPr>
            </w:pPr>
            <w:r>
              <w:rPr>
                <w:rFonts w:ascii="Arial" w:hAnsi="Arial" w:cs="Arial"/>
                <w:b w:val="0"/>
                <w:sz w:val="22"/>
              </w:rPr>
              <w:t xml:space="preserve">                                                   </w:t>
            </w:r>
            <w:r w:rsidR="00A423E6">
              <w:rPr>
                <w:rFonts w:ascii="Arial" w:hAnsi="Arial" w:cs="Arial"/>
                <w:b w:val="0"/>
                <w:sz w:val="22"/>
              </w:rPr>
              <w:t xml:space="preserve"> </w:t>
            </w:r>
            <w:r w:rsidR="006A51E7">
              <w:rPr>
                <w:rFonts w:ascii="Arial" w:hAnsi="Arial" w:cs="Arial"/>
                <w:b w:val="0"/>
                <w:sz w:val="22"/>
              </w:rPr>
              <w:t xml:space="preserve">January 8, 2018 </w:t>
            </w:r>
            <w:r>
              <w:rPr>
                <w:rFonts w:ascii="Arial" w:hAnsi="Arial" w:cs="Arial"/>
                <w:b w:val="0"/>
                <w:sz w:val="22"/>
              </w:rPr>
              <w:t>at the Conference Room of PMO</w:t>
            </w:r>
          </w:p>
          <w:p w:rsidR="00B57F99" w:rsidRDefault="00AC2CE7" w:rsidP="0007692D">
            <w:pPr>
              <w:pStyle w:val="Title"/>
              <w:jc w:val="both"/>
              <w:rPr>
                <w:rFonts w:ascii="Arial" w:hAnsi="Arial" w:cs="Arial"/>
                <w:b w:val="0"/>
                <w:sz w:val="22"/>
              </w:rPr>
            </w:pPr>
            <w:r>
              <w:rPr>
                <w:rFonts w:ascii="Arial" w:hAnsi="Arial" w:cs="Arial"/>
                <w:b w:val="0"/>
                <w:sz w:val="22"/>
              </w:rPr>
              <w:t xml:space="preserve">                                                   </w:t>
            </w:r>
            <w:r w:rsidR="00E40F3E">
              <w:rPr>
                <w:rFonts w:ascii="Arial" w:hAnsi="Arial" w:cs="Arial"/>
                <w:b w:val="0"/>
                <w:sz w:val="22"/>
              </w:rPr>
              <w:t xml:space="preserve"> </w:t>
            </w:r>
            <w:proofErr w:type="gramStart"/>
            <w:r w:rsidR="00E40F3E">
              <w:rPr>
                <w:rFonts w:ascii="Arial" w:hAnsi="Arial" w:cs="Arial"/>
                <w:b w:val="0"/>
                <w:sz w:val="22"/>
              </w:rPr>
              <w:t>Bicol.</w:t>
            </w:r>
            <w:proofErr w:type="gramEnd"/>
            <w:r w:rsidR="00A423E6">
              <w:rPr>
                <w:rFonts w:ascii="Arial" w:hAnsi="Arial" w:cs="Arial"/>
                <w:b w:val="0"/>
                <w:sz w:val="22"/>
              </w:rPr>
              <w:t xml:space="preserve"> </w:t>
            </w:r>
            <w:r w:rsidR="00B57F99">
              <w:rPr>
                <w:rFonts w:ascii="Arial" w:hAnsi="Arial" w:cs="Arial"/>
                <w:b w:val="0"/>
                <w:sz w:val="22"/>
              </w:rPr>
              <w:t xml:space="preserve">                           </w:t>
            </w:r>
          </w:p>
        </w:tc>
      </w:tr>
      <w:tr w:rsidR="00B57F99" w:rsidTr="00B57F99">
        <w:tc>
          <w:tcPr>
            <w:tcW w:w="608" w:type="dxa"/>
            <w:hideMark/>
          </w:tcPr>
          <w:p w:rsidR="00B57F99" w:rsidRDefault="00696B9C">
            <w:pPr>
              <w:pStyle w:val="Title"/>
              <w:jc w:val="both"/>
              <w:rPr>
                <w:rFonts w:ascii="Arial" w:hAnsi="Arial" w:cs="Arial"/>
                <w:b w:val="0"/>
                <w:sz w:val="22"/>
              </w:rPr>
            </w:pPr>
            <w:proofErr w:type="gramStart"/>
            <w:r>
              <w:rPr>
                <w:rFonts w:ascii="Arial" w:hAnsi="Arial" w:cs="Arial"/>
                <w:b w:val="0"/>
                <w:sz w:val="22"/>
              </w:rPr>
              <w:t>VIII</w:t>
            </w:r>
            <w:r w:rsidR="00B57F99">
              <w:rPr>
                <w:rFonts w:ascii="Arial" w:hAnsi="Arial" w:cs="Arial"/>
                <w:b w:val="0"/>
                <w:sz w:val="22"/>
              </w:rPr>
              <w:t>.</w:t>
            </w:r>
            <w:proofErr w:type="gramEnd"/>
          </w:p>
          <w:p w:rsidR="00B57F99" w:rsidRDefault="00696B9C">
            <w:pPr>
              <w:pStyle w:val="Title"/>
              <w:jc w:val="both"/>
              <w:rPr>
                <w:rFonts w:ascii="Arial" w:hAnsi="Arial" w:cs="Arial"/>
                <w:b w:val="0"/>
                <w:sz w:val="22"/>
              </w:rPr>
            </w:pPr>
            <w:proofErr w:type="gramStart"/>
            <w:r>
              <w:rPr>
                <w:rFonts w:ascii="Arial" w:hAnsi="Arial" w:cs="Arial"/>
                <w:b w:val="0"/>
                <w:sz w:val="22"/>
              </w:rPr>
              <w:t>I</w:t>
            </w:r>
            <w:r w:rsidR="00B57F99">
              <w:rPr>
                <w:rFonts w:ascii="Arial" w:hAnsi="Arial" w:cs="Arial"/>
                <w:b w:val="0"/>
                <w:sz w:val="22"/>
              </w:rPr>
              <w:t>X.</w:t>
            </w:r>
            <w:proofErr w:type="gramEnd"/>
          </w:p>
        </w:tc>
        <w:tc>
          <w:tcPr>
            <w:tcW w:w="8968" w:type="dxa"/>
            <w:hideMark/>
          </w:tcPr>
          <w:p w:rsidR="00A02261" w:rsidRDefault="00B57F99" w:rsidP="00A02261">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A02261">
              <w:rPr>
                <w:rFonts w:cs="Arial"/>
                <w:b w:val="0"/>
                <w:sz w:val="22"/>
              </w:rPr>
              <w:t>15,171,215.00</w:t>
            </w:r>
          </w:p>
          <w:p w:rsidR="00B57F99" w:rsidRDefault="00B57F99" w:rsidP="00A02261">
            <w:pPr>
              <w:pStyle w:val="Title"/>
              <w:jc w:val="both"/>
              <w:rPr>
                <w:rFonts w:ascii="Arial" w:hAnsi="Arial" w:cs="Arial"/>
                <w:b w:val="0"/>
                <w:sz w:val="22"/>
              </w:rPr>
            </w:pPr>
            <w:r>
              <w:rPr>
                <w:rFonts w:ascii="Arial" w:hAnsi="Arial" w:cs="Arial"/>
                <w:b w:val="0"/>
                <w:sz w:val="22"/>
              </w:rPr>
              <w:t xml:space="preserve">Source of Funds: </w:t>
            </w:r>
            <w:r w:rsidR="001D133F">
              <w:rPr>
                <w:rFonts w:ascii="Arial" w:hAnsi="Arial" w:cs="Arial"/>
                <w:b w:val="0"/>
                <w:sz w:val="22"/>
              </w:rPr>
              <w:t>Corporate Funds</w:t>
            </w:r>
          </w:p>
        </w:tc>
      </w:tr>
      <w:tr w:rsidR="00B57F99" w:rsidTr="00B57F99">
        <w:tc>
          <w:tcPr>
            <w:tcW w:w="608" w:type="dxa"/>
            <w:hideMark/>
          </w:tcPr>
          <w:p w:rsidR="00B57F99" w:rsidRDefault="00B57F99" w:rsidP="00696B9C">
            <w:pPr>
              <w:pStyle w:val="Title"/>
              <w:jc w:val="both"/>
              <w:rPr>
                <w:rFonts w:ascii="Arial" w:hAnsi="Arial" w:cs="Arial"/>
                <w:b w:val="0"/>
                <w:sz w:val="22"/>
              </w:rPr>
            </w:pPr>
            <w:r>
              <w:rPr>
                <w:rFonts w:ascii="Arial" w:hAnsi="Arial" w:cs="Arial"/>
                <w:b w:val="0"/>
                <w:sz w:val="22"/>
              </w:rPr>
              <w:t>X.</w:t>
            </w:r>
          </w:p>
        </w:tc>
        <w:tc>
          <w:tcPr>
            <w:tcW w:w="8968" w:type="dxa"/>
            <w:hideMark/>
          </w:tcPr>
          <w:p w:rsidR="00B57F99" w:rsidRDefault="00311D59" w:rsidP="00A02261">
            <w:pPr>
              <w:pStyle w:val="Title"/>
              <w:jc w:val="both"/>
              <w:rPr>
                <w:rFonts w:ascii="Arial" w:hAnsi="Arial" w:cs="Arial"/>
                <w:b w:val="0"/>
                <w:sz w:val="22"/>
              </w:rPr>
            </w:pPr>
            <w:r>
              <w:rPr>
                <w:rFonts w:ascii="Arial" w:hAnsi="Arial" w:cs="Arial"/>
                <w:b w:val="0"/>
                <w:sz w:val="22"/>
              </w:rPr>
              <w:t xml:space="preserve">Contract Duration: </w:t>
            </w:r>
            <w:r w:rsidR="00A02261">
              <w:rPr>
                <w:rFonts w:ascii="Arial" w:hAnsi="Arial" w:cs="Arial"/>
                <w:b w:val="0"/>
                <w:sz w:val="22"/>
              </w:rPr>
              <w:t xml:space="preserve">210 </w:t>
            </w:r>
            <w:r w:rsidR="00B57F99">
              <w:rPr>
                <w:rFonts w:ascii="Arial" w:hAnsi="Arial" w:cs="Arial"/>
                <w:b w:val="0"/>
                <w:sz w:val="22"/>
              </w:rPr>
              <w:t>calendar days</w:t>
            </w:r>
          </w:p>
        </w:tc>
      </w:tr>
      <w:tr w:rsidR="00B57F99" w:rsidTr="00B57F99">
        <w:tc>
          <w:tcPr>
            <w:tcW w:w="608" w:type="dxa"/>
            <w:hideMark/>
          </w:tcPr>
          <w:p w:rsidR="00B57F99" w:rsidRDefault="00B57F99" w:rsidP="00696B9C">
            <w:pPr>
              <w:pStyle w:val="Title"/>
              <w:jc w:val="both"/>
              <w:rPr>
                <w:rFonts w:ascii="Arial" w:hAnsi="Arial" w:cs="Arial"/>
                <w:b w:val="0"/>
                <w:sz w:val="22"/>
              </w:rPr>
            </w:pPr>
            <w:proofErr w:type="gramStart"/>
            <w:r>
              <w:rPr>
                <w:rFonts w:ascii="Arial" w:hAnsi="Arial" w:cs="Arial"/>
                <w:b w:val="0"/>
                <w:sz w:val="22"/>
              </w:rPr>
              <w:t>X</w:t>
            </w:r>
            <w:r w:rsidR="00711976">
              <w:rPr>
                <w:rFonts w:ascii="Arial" w:hAnsi="Arial" w:cs="Arial"/>
                <w:b w:val="0"/>
                <w:sz w:val="22"/>
              </w:rPr>
              <w:t>I</w:t>
            </w:r>
            <w:r>
              <w:rPr>
                <w:rFonts w:ascii="Arial" w:hAnsi="Arial" w:cs="Arial"/>
                <w:b w:val="0"/>
                <w:sz w:val="22"/>
              </w:rPr>
              <w:t>.</w:t>
            </w:r>
            <w:proofErr w:type="gramEnd"/>
          </w:p>
        </w:tc>
        <w:tc>
          <w:tcPr>
            <w:tcW w:w="8968" w:type="dxa"/>
            <w:hideMark/>
          </w:tcPr>
          <w:p w:rsidR="00B57F99" w:rsidRDefault="00B57F99" w:rsidP="00A02261">
            <w:pPr>
              <w:pStyle w:val="Title"/>
              <w:jc w:val="both"/>
              <w:rPr>
                <w:rFonts w:ascii="Arial" w:hAnsi="Arial" w:cs="Arial"/>
                <w:b w:val="0"/>
                <w:sz w:val="22"/>
              </w:rPr>
            </w:pPr>
            <w:r>
              <w:rPr>
                <w:rFonts w:ascii="Arial" w:hAnsi="Arial" w:cs="Arial"/>
                <w:b w:val="0"/>
                <w:sz w:val="22"/>
              </w:rPr>
              <w:t xml:space="preserve">Cost of Bid Documents: </w:t>
            </w:r>
            <w:r>
              <w:rPr>
                <w:rFonts w:cs="Arial"/>
                <w:b w:val="0"/>
                <w:sz w:val="22"/>
              </w:rPr>
              <w:t>₱</w:t>
            </w:r>
            <w:r w:rsidR="00A02261">
              <w:rPr>
                <w:rFonts w:cs="Arial"/>
                <w:b w:val="0"/>
                <w:sz w:val="22"/>
              </w:rPr>
              <w:t xml:space="preserve">11,940.00 </w:t>
            </w:r>
            <w:bookmarkStart w:id="0" w:name="_GoBack"/>
            <w:bookmarkEnd w:id="0"/>
            <w:r>
              <w:rPr>
                <w:rFonts w:ascii="Arial" w:hAnsi="Arial" w:cs="Arial"/>
                <w:b w:val="0"/>
                <w:sz w:val="22"/>
              </w:rPr>
              <w:t>(non-refundable)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possess a valid PCAB license</w:t>
      </w:r>
      <w:r w:rsidR="00E40F3E">
        <w:rPr>
          <w:rFonts w:ascii="Arial" w:hAnsi="Arial" w:cs="Arial"/>
          <w:b w:val="0"/>
          <w:sz w:val="22"/>
          <w:szCs w:val="22"/>
        </w:rPr>
        <w:t xml:space="preserve"> </w:t>
      </w:r>
      <w:r>
        <w:rPr>
          <w:rFonts w:ascii="Arial" w:hAnsi="Arial" w:cs="Arial"/>
          <w:b w:val="0"/>
          <w:sz w:val="22"/>
          <w:szCs w:val="22"/>
        </w:rPr>
        <w:t xml:space="preserve">(at least </w:t>
      </w:r>
      <w:r w:rsidR="00F57F01">
        <w:rPr>
          <w:rFonts w:ascii="Arial" w:hAnsi="Arial" w:cs="Arial"/>
          <w:b w:val="0"/>
          <w:sz w:val="22"/>
          <w:szCs w:val="22"/>
        </w:rPr>
        <w:t xml:space="preserve">Medium A </w:t>
      </w:r>
      <w:r w:rsidR="00022E07">
        <w:rPr>
          <w:rFonts w:ascii="Arial" w:hAnsi="Arial" w:cs="Arial"/>
          <w:b w:val="0"/>
          <w:sz w:val="22"/>
          <w:szCs w:val="22"/>
        </w:rPr>
        <w:t>for Port, Harbor or Offshore Engineering)</w:t>
      </w:r>
      <w:r w:rsidR="001453C3">
        <w:rPr>
          <w:rFonts w:ascii="Arial" w:hAnsi="Arial" w:cs="Arial"/>
          <w:b w:val="0"/>
          <w:sz w:val="22"/>
          <w:szCs w:val="22"/>
        </w:rPr>
        <w:t>;</w:t>
      </w:r>
      <w:r w:rsidR="00E40F3E">
        <w:rPr>
          <w:rFonts w:ascii="Arial" w:hAnsi="Arial" w:cs="Arial"/>
          <w:b w:val="0"/>
          <w:sz w:val="22"/>
          <w:szCs w:val="22"/>
        </w:rPr>
        <w:t xml:space="preserve"> </w:t>
      </w:r>
      <w:r>
        <w:rPr>
          <w:rFonts w:ascii="Arial" w:hAnsi="Arial" w:cs="Arial"/>
          <w:b w:val="0"/>
          <w:sz w:val="22"/>
          <w:szCs w:val="22"/>
        </w:rPr>
        <w:t>have key personnel and equipment available for the</w:t>
      </w:r>
      <w:r w:rsidR="00EA08BE">
        <w:rPr>
          <w:rFonts w:ascii="Arial" w:hAnsi="Arial" w:cs="Arial"/>
          <w:b w:val="0"/>
          <w:sz w:val="22"/>
          <w:szCs w:val="22"/>
        </w:rPr>
        <w:t xml:space="preserve"> </w:t>
      </w:r>
      <w:r>
        <w:rPr>
          <w:rFonts w:ascii="Arial" w:hAnsi="Arial" w:cs="Arial"/>
          <w:b w:val="0"/>
          <w:sz w:val="22"/>
          <w:szCs w:val="22"/>
        </w:rPr>
        <w:t>prosecution</w:t>
      </w:r>
      <w:r w:rsidR="00EA08BE">
        <w:rPr>
          <w:rFonts w:ascii="Arial" w:hAnsi="Arial" w:cs="Arial"/>
          <w:b w:val="0"/>
          <w:sz w:val="22"/>
          <w:szCs w:val="22"/>
        </w:rPr>
        <w:t xml:space="preserve"> </w:t>
      </w:r>
      <w:r>
        <w:rPr>
          <w:rFonts w:ascii="Arial" w:hAnsi="Arial" w:cs="Arial"/>
          <w:b w:val="0"/>
          <w:sz w:val="22"/>
          <w:szCs w:val="22"/>
        </w:rPr>
        <w:t>of the contract</w:t>
      </w:r>
      <w:r w:rsidR="001453C3">
        <w:rPr>
          <w:rFonts w:ascii="Arial" w:hAnsi="Arial" w:cs="Arial"/>
          <w:b w:val="0"/>
          <w:sz w:val="22"/>
          <w:szCs w:val="22"/>
        </w:rPr>
        <w:t>; and must have completed a contract/project similar in nature and complexity to the contract to be bid</w:t>
      </w:r>
      <w:r w:rsidR="0048614F">
        <w:rPr>
          <w:rFonts w:ascii="Arial" w:hAnsi="Arial" w:cs="Arial"/>
          <w:b w:val="0"/>
          <w:sz w:val="22"/>
          <w:szCs w:val="22"/>
        </w:rPr>
        <w:t>.</w:t>
      </w:r>
      <w:r>
        <w:rPr>
          <w:rFonts w:ascii="Arial" w:hAnsi="Arial" w:cs="Arial"/>
          <w:b w:val="0"/>
          <w:sz w:val="22"/>
          <w:szCs w:val="22"/>
        </w:rPr>
        <w:t xml:space="preserve"> </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AD10FA">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B57F99" w:rsidRDefault="00B57F99" w:rsidP="00B57F99">
      <w:pPr>
        <w:pStyle w:val="Heading1"/>
        <w:rPr>
          <w:rFonts w:ascii="Arial" w:hAnsi="Arial" w:cs="Arial"/>
          <w:sz w:val="22"/>
          <w:szCs w:val="22"/>
        </w:rPr>
      </w:pPr>
      <w:r>
        <w:rPr>
          <w:rFonts w:ascii="Arial" w:hAnsi="Arial" w:cs="Arial"/>
          <w:sz w:val="22"/>
          <w:szCs w:val="22"/>
        </w:rPr>
        <w:t>DARWIN M. MILLENA</w:t>
      </w:r>
    </w:p>
    <w:p w:rsidR="00CD74E6" w:rsidRDefault="004B176A" w:rsidP="00AC2CE7">
      <w:pPr>
        <w:rPr>
          <w:rFonts w:ascii="Arial" w:hAnsi="Arial" w:cs="Arial"/>
          <w:sz w:val="16"/>
          <w:szCs w:val="16"/>
        </w:rPr>
      </w:pPr>
      <w:r>
        <w:rPr>
          <w:rFonts w:ascii="Arial" w:hAnsi="Arial" w:cs="Arial"/>
          <w:sz w:val="22"/>
          <w:szCs w:val="22"/>
        </w:rPr>
        <w:t>Chairperson</w:t>
      </w:r>
      <w:r w:rsidR="00B57F99">
        <w:rPr>
          <w:rFonts w:ascii="Arial" w:hAnsi="Arial" w:cs="Arial"/>
          <w:sz w:val="22"/>
          <w:szCs w:val="22"/>
        </w:rPr>
        <w:t xml:space="preserve">     </w:t>
      </w:r>
    </w:p>
    <w:sectPr w:rsidR="00CD74E6" w:rsidSect="00AC2CE7">
      <w:pgSz w:w="12240" w:h="18720" w:code="9"/>
      <w:pgMar w:top="173"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56" w:rsidRDefault="00940556" w:rsidP="00B9027B">
      <w:r>
        <w:separator/>
      </w:r>
    </w:p>
  </w:endnote>
  <w:endnote w:type="continuationSeparator" w:id="0">
    <w:p w:rsidR="00940556" w:rsidRDefault="00940556"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56" w:rsidRDefault="00940556" w:rsidP="00B9027B">
      <w:r>
        <w:separator/>
      </w:r>
    </w:p>
  </w:footnote>
  <w:footnote w:type="continuationSeparator" w:id="0">
    <w:p w:rsidR="00940556" w:rsidRDefault="00940556"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6"/>
    <w:rsid w:val="00003A90"/>
    <w:rsid w:val="00022E07"/>
    <w:rsid w:val="00024DBE"/>
    <w:rsid w:val="000252B7"/>
    <w:rsid w:val="00027498"/>
    <w:rsid w:val="00032003"/>
    <w:rsid w:val="000440CA"/>
    <w:rsid w:val="000573CC"/>
    <w:rsid w:val="00060D2D"/>
    <w:rsid w:val="0007259F"/>
    <w:rsid w:val="00073767"/>
    <w:rsid w:val="00075B90"/>
    <w:rsid w:val="0007692D"/>
    <w:rsid w:val="000949C5"/>
    <w:rsid w:val="000A2CEC"/>
    <w:rsid w:val="000B5888"/>
    <w:rsid w:val="000C3C00"/>
    <w:rsid w:val="000D199C"/>
    <w:rsid w:val="000E0F6B"/>
    <w:rsid w:val="001453C3"/>
    <w:rsid w:val="001533E0"/>
    <w:rsid w:val="0016219E"/>
    <w:rsid w:val="00162DB9"/>
    <w:rsid w:val="0016383D"/>
    <w:rsid w:val="001708A6"/>
    <w:rsid w:val="00172794"/>
    <w:rsid w:val="00175E55"/>
    <w:rsid w:val="001B682F"/>
    <w:rsid w:val="001B7123"/>
    <w:rsid w:val="001D133F"/>
    <w:rsid w:val="001E19C1"/>
    <w:rsid w:val="001E541F"/>
    <w:rsid w:val="001F52FD"/>
    <w:rsid w:val="00204E49"/>
    <w:rsid w:val="00216EE1"/>
    <w:rsid w:val="00226AF3"/>
    <w:rsid w:val="00257265"/>
    <w:rsid w:val="00261D35"/>
    <w:rsid w:val="00263FF2"/>
    <w:rsid w:val="00272ED7"/>
    <w:rsid w:val="0028247F"/>
    <w:rsid w:val="002A1EAD"/>
    <w:rsid w:val="002A7ACA"/>
    <w:rsid w:val="002B7595"/>
    <w:rsid w:val="002B7ABF"/>
    <w:rsid w:val="002C6AB4"/>
    <w:rsid w:val="002D4164"/>
    <w:rsid w:val="002D6579"/>
    <w:rsid w:val="002E77F9"/>
    <w:rsid w:val="002F2C17"/>
    <w:rsid w:val="00305DC6"/>
    <w:rsid w:val="00310B28"/>
    <w:rsid w:val="00311D59"/>
    <w:rsid w:val="003145F3"/>
    <w:rsid w:val="00341FF2"/>
    <w:rsid w:val="0034538C"/>
    <w:rsid w:val="00352546"/>
    <w:rsid w:val="00354625"/>
    <w:rsid w:val="00356695"/>
    <w:rsid w:val="003647DF"/>
    <w:rsid w:val="00385A4A"/>
    <w:rsid w:val="00394BED"/>
    <w:rsid w:val="003B7D14"/>
    <w:rsid w:val="003C1ACE"/>
    <w:rsid w:val="003E4326"/>
    <w:rsid w:val="003F7B68"/>
    <w:rsid w:val="00402064"/>
    <w:rsid w:val="004338F8"/>
    <w:rsid w:val="00447C9A"/>
    <w:rsid w:val="0045288A"/>
    <w:rsid w:val="00456C45"/>
    <w:rsid w:val="00472CE5"/>
    <w:rsid w:val="00476AC6"/>
    <w:rsid w:val="0048614F"/>
    <w:rsid w:val="004B176A"/>
    <w:rsid w:val="004B761B"/>
    <w:rsid w:val="004C6372"/>
    <w:rsid w:val="00511BED"/>
    <w:rsid w:val="005136CD"/>
    <w:rsid w:val="00517531"/>
    <w:rsid w:val="00523C33"/>
    <w:rsid w:val="00534E1B"/>
    <w:rsid w:val="00542BC5"/>
    <w:rsid w:val="00562C96"/>
    <w:rsid w:val="0056535E"/>
    <w:rsid w:val="0059393F"/>
    <w:rsid w:val="005A2F3E"/>
    <w:rsid w:val="005B1F6E"/>
    <w:rsid w:val="00605A3D"/>
    <w:rsid w:val="00607C4E"/>
    <w:rsid w:val="00611EA4"/>
    <w:rsid w:val="00634A5C"/>
    <w:rsid w:val="00654177"/>
    <w:rsid w:val="006640C7"/>
    <w:rsid w:val="00685791"/>
    <w:rsid w:val="00690097"/>
    <w:rsid w:val="00693863"/>
    <w:rsid w:val="006951F3"/>
    <w:rsid w:val="00696B9C"/>
    <w:rsid w:val="006A1659"/>
    <w:rsid w:val="006A51E7"/>
    <w:rsid w:val="006B330C"/>
    <w:rsid w:val="006D46DE"/>
    <w:rsid w:val="006F28CE"/>
    <w:rsid w:val="006F2C82"/>
    <w:rsid w:val="0070292D"/>
    <w:rsid w:val="00710182"/>
    <w:rsid w:val="00711976"/>
    <w:rsid w:val="00724AE1"/>
    <w:rsid w:val="00745673"/>
    <w:rsid w:val="007546A7"/>
    <w:rsid w:val="00770D57"/>
    <w:rsid w:val="0077122C"/>
    <w:rsid w:val="00774151"/>
    <w:rsid w:val="007768A6"/>
    <w:rsid w:val="007814C0"/>
    <w:rsid w:val="0079031B"/>
    <w:rsid w:val="007B03DF"/>
    <w:rsid w:val="007B58D3"/>
    <w:rsid w:val="007D27C1"/>
    <w:rsid w:val="007D7664"/>
    <w:rsid w:val="007F4ED2"/>
    <w:rsid w:val="00804C33"/>
    <w:rsid w:val="0082102F"/>
    <w:rsid w:val="00835201"/>
    <w:rsid w:val="00850461"/>
    <w:rsid w:val="00857627"/>
    <w:rsid w:val="00860EAA"/>
    <w:rsid w:val="00861960"/>
    <w:rsid w:val="00861DE0"/>
    <w:rsid w:val="00867455"/>
    <w:rsid w:val="00871BBE"/>
    <w:rsid w:val="00875780"/>
    <w:rsid w:val="00880F2D"/>
    <w:rsid w:val="008A646C"/>
    <w:rsid w:val="008B6BCE"/>
    <w:rsid w:val="008C4B75"/>
    <w:rsid w:val="008C54C5"/>
    <w:rsid w:val="008D2B1F"/>
    <w:rsid w:val="008E6DCA"/>
    <w:rsid w:val="0090658F"/>
    <w:rsid w:val="0090717F"/>
    <w:rsid w:val="0092059D"/>
    <w:rsid w:val="00922390"/>
    <w:rsid w:val="00923118"/>
    <w:rsid w:val="00923157"/>
    <w:rsid w:val="00940556"/>
    <w:rsid w:val="00947C90"/>
    <w:rsid w:val="00960FCA"/>
    <w:rsid w:val="009659D0"/>
    <w:rsid w:val="0096682A"/>
    <w:rsid w:val="00980FD2"/>
    <w:rsid w:val="009832A0"/>
    <w:rsid w:val="0098390F"/>
    <w:rsid w:val="009942BE"/>
    <w:rsid w:val="00994DE2"/>
    <w:rsid w:val="009B6236"/>
    <w:rsid w:val="009D0F97"/>
    <w:rsid w:val="009D2938"/>
    <w:rsid w:val="009D2F6B"/>
    <w:rsid w:val="009E2DD3"/>
    <w:rsid w:val="009E3D85"/>
    <w:rsid w:val="009F69EC"/>
    <w:rsid w:val="00A01518"/>
    <w:rsid w:val="00A02261"/>
    <w:rsid w:val="00A05B62"/>
    <w:rsid w:val="00A0786E"/>
    <w:rsid w:val="00A26149"/>
    <w:rsid w:val="00A30C9F"/>
    <w:rsid w:val="00A35C3E"/>
    <w:rsid w:val="00A423E6"/>
    <w:rsid w:val="00A458A9"/>
    <w:rsid w:val="00A83474"/>
    <w:rsid w:val="00A9048B"/>
    <w:rsid w:val="00AA6E23"/>
    <w:rsid w:val="00AB5F2B"/>
    <w:rsid w:val="00AB6696"/>
    <w:rsid w:val="00AC2CE7"/>
    <w:rsid w:val="00AC448B"/>
    <w:rsid w:val="00AD10FA"/>
    <w:rsid w:val="00AD1F98"/>
    <w:rsid w:val="00AE212C"/>
    <w:rsid w:val="00B12059"/>
    <w:rsid w:val="00B1333A"/>
    <w:rsid w:val="00B1774B"/>
    <w:rsid w:val="00B27000"/>
    <w:rsid w:val="00B36324"/>
    <w:rsid w:val="00B37292"/>
    <w:rsid w:val="00B46DC7"/>
    <w:rsid w:val="00B5089F"/>
    <w:rsid w:val="00B51557"/>
    <w:rsid w:val="00B57F99"/>
    <w:rsid w:val="00B72856"/>
    <w:rsid w:val="00B80C86"/>
    <w:rsid w:val="00B83604"/>
    <w:rsid w:val="00B85BBD"/>
    <w:rsid w:val="00B9027B"/>
    <w:rsid w:val="00B90879"/>
    <w:rsid w:val="00B94ACA"/>
    <w:rsid w:val="00BB233D"/>
    <w:rsid w:val="00BB3885"/>
    <w:rsid w:val="00BD07AC"/>
    <w:rsid w:val="00BD60D0"/>
    <w:rsid w:val="00BE3E17"/>
    <w:rsid w:val="00BF1775"/>
    <w:rsid w:val="00BF4CEF"/>
    <w:rsid w:val="00C02CB5"/>
    <w:rsid w:val="00C20DD8"/>
    <w:rsid w:val="00C23F92"/>
    <w:rsid w:val="00C24F7A"/>
    <w:rsid w:val="00C26BEB"/>
    <w:rsid w:val="00C3338B"/>
    <w:rsid w:val="00C45B92"/>
    <w:rsid w:val="00C67B22"/>
    <w:rsid w:val="00C743AF"/>
    <w:rsid w:val="00C93814"/>
    <w:rsid w:val="00CA4C36"/>
    <w:rsid w:val="00CB3B90"/>
    <w:rsid w:val="00CC4F8C"/>
    <w:rsid w:val="00CD07A0"/>
    <w:rsid w:val="00CD3FD1"/>
    <w:rsid w:val="00CD74E6"/>
    <w:rsid w:val="00CE395C"/>
    <w:rsid w:val="00CF15FF"/>
    <w:rsid w:val="00CF4D5D"/>
    <w:rsid w:val="00D00BCA"/>
    <w:rsid w:val="00D10CFD"/>
    <w:rsid w:val="00D25D0A"/>
    <w:rsid w:val="00D3553F"/>
    <w:rsid w:val="00D3749F"/>
    <w:rsid w:val="00D501A4"/>
    <w:rsid w:val="00D70380"/>
    <w:rsid w:val="00D844FE"/>
    <w:rsid w:val="00D964F1"/>
    <w:rsid w:val="00DD0C5A"/>
    <w:rsid w:val="00DF6D70"/>
    <w:rsid w:val="00E03506"/>
    <w:rsid w:val="00E042F7"/>
    <w:rsid w:val="00E12DE1"/>
    <w:rsid w:val="00E343FF"/>
    <w:rsid w:val="00E40F3E"/>
    <w:rsid w:val="00E567D6"/>
    <w:rsid w:val="00E56BDB"/>
    <w:rsid w:val="00EA08BE"/>
    <w:rsid w:val="00EA11FE"/>
    <w:rsid w:val="00ED1A66"/>
    <w:rsid w:val="00EE3AB0"/>
    <w:rsid w:val="00F01A49"/>
    <w:rsid w:val="00F04E21"/>
    <w:rsid w:val="00F2446F"/>
    <w:rsid w:val="00F32832"/>
    <w:rsid w:val="00F3402E"/>
    <w:rsid w:val="00F36311"/>
    <w:rsid w:val="00F446B3"/>
    <w:rsid w:val="00F45660"/>
    <w:rsid w:val="00F57F01"/>
    <w:rsid w:val="00F662B4"/>
    <w:rsid w:val="00F77F6C"/>
    <w:rsid w:val="00F874CD"/>
    <w:rsid w:val="00FB1301"/>
    <w:rsid w:val="00FC0068"/>
    <w:rsid w:val="00FC1AD1"/>
    <w:rsid w:val="00FC54C3"/>
    <w:rsid w:val="00FD1959"/>
    <w:rsid w:val="00FE1ADC"/>
    <w:rsid w:val="00FE39A3"/>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4</cp:revision>
  <cp:lastPrinted>2016-02-29T09:39:00Z</cp:lastPrinted>
  <dcterms:created xsi:type="dcterms:W3CDTF">2017-12-20T07:52:00Z</dcterms:created>
  <dcterms:modified xsi:type="dcterms:W3CDTF">2017-12-20T08:07:00Z</dcterms:modified>
</cp:coreProperties>
</file>