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7F4866">
      <w:pPr>
        <w:jc w:val="center"/>
        <w:rPr>
          <w:rFonts w:ascii="Arial" w:hAnsi="Arial" w:cs="Arial"/>
          <w:sz w:val="16"/>
          <w:szCs w:val="16"/>
        </w:rPr>
      </w:pPr>
      <w:r>
        <w:rPr>
          <w:rFonts w:ascii="Arial" w:hAnsi="Arial" w:cs="Arial"/>
          <w:sz w:val="16"/>
          <w:szCs w:val="16"/>
        </w:rPr>
        <w:t>Regional</w:t>
      </w:r>
      <w:r w:rsidR="007F4866">
        <w:rPr>
          <w:rFonts w:ascii="Arial" w:hAnsi="Arial" w:cs="Arial"/>
          <w:sz w:val="16"/>
          <w:szCs w:val="16"/>
        </w:rPr>
        <w:t xml:space="preserve"> Government</w:t>
      </w:r>
      <w:r>
        <w:rPr>
          <w:rFonts w:ascii="Arial" w:hAnsi="Arial" w:cs="Arial"/>
          <w:sz w:val="16"/>
          <w:szCs w:val="16"/>
        </w:rPr>
        <w:t xml:space="preserve">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C22C77">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The Philippine Ports Authority, Port Management Office of Bicol, through its Bids and Awards Committee for Engineering Projects, invites 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506B21" w:rsidRDefault="00B57F99" w:rsidP="00506B21">
            <w:pPr>
              <w:pStyle w:val="Title"/>
              <w:jc w:val="both"/>
              <w:rPr>
                <w:rFonts w:ascii="Arial" w:hAnsi="Arial" w:cs="Arial"/>
                <w:sz w:val="22"/>
              </w:rPr>
            </w:pPr>
            <w:r>
              <w:rPr>
                <w:rFonts w:ascii="Arial" w:hAnsi="Arial" w:cs="Arial"/>
                <w:b w:val="0"/>
                <w:sz w:val="22"/>
              </w:rPr>
              <w:t xml:space="preserve">Name of Project: </w:t>
            </w:r>
            <w:r w:rsidR="00BF36FE">
              <w:rPr>
                <w:rFonts w:ascii="Arial" w:hAnsi="Arial" w:cs="Arial"/>
                <w:sz w:val="22"/>
              </w:rPr>
              <w:t xml:space="preserve">REPAIR OF </w:t>
            </w:r>
            <w:r w:rsidR="00506B21">
              <w:rPr>
                <w:rFonts w:ascii="Arial" w:hAnsi="Arial" w:cs="Arial"/>
                <w:sz w:val="22"/>
              </w:rPr>
              <w:t>BACK-UP AREA AND PASSENGER TERMINAL</w:t>
            </w:r>
          </w:p>
          <w:p w:rsidR="00B57F99" w:rsidRDefault="00506B21" w:rsidP="00506B21">
            <w:pPr>
              <w:pStyle w:val="Title"/>
              <w:jc w:val="both"/>
              <w:rPr>
                <w:rFonts w:ascii="Arial" w:hAnsi="Arial" w:cs="Arial"/>
                <w:b w:val="0"/>
                <w:sz w:val="22"/>
              </w:rPr>
            </w:pPr>
            <w:r>
              <w:rPr>
                <w:rFonts w:ascii="Arial" w:hAnsi="Arial" w:cs="Arial"/>
                <w:sz w:val="22"/>
              </w:rPr>
              <w:t xml:space="preserve">                            BUILDING, PORT OF CLAVERIA, MASBATE</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p>
        </w:tc>
        <w:tc>
          <w:tcPr>
            <w:tcW w:w="8968" w:type="dxa"/>
          </w:tcPr>
          <w:p w:rsidR="00B57F99" w:rsidRDefault="00506B21" w:rsidP="00B57F99">
            <w:pPr>
              <w:pStyle w:val="Title"/>
              <w:jc w:val="both"/>
              <w:rPr>
                <w:rFonts w:ascii="Arial" w:hAnsi="Arial" w:cs="Arial"/>
                <w:b w:val="0"/>
                <w:sz w:val="22"/>
              </w:rPr>
            </w:pPr>
            <w:r>
              <w:rPr>
                <w:rFonts w:ascii="Arial" w:hAnsi="Arial" w:cs="Arial"/>
                <w:b w:val="0"/>
                <w:sz w:val="22"/>
              </w:rPr>
              <w:t>Contract No.: BCL 1706</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7F4866" w:rsidP="00CA239B">
            <w:pPr>
              <w:pStyle w:val="Title"/>
              <w:jc w:val="both"/>
              <w:rPr>
                <w:rFonts w:ascii="Arial" w:hAnsi="Arial" w:cs="Arial"/>
                <w:b w:val="0"/>
                <w:sz w:val="22"/>
              </w:rPr>
            </w:pPr>
            <w:r>
              <w:rPr>
                <w:rFonts w:ascii="Arial" w:hAnsi="Arial" w:cs="Arial"/>
                <w:b w:val="0"/>
                <w:sz w:val="22"/>
              </w:rPr>
              <w:t>Location of Project</w:t>
            </w:r>
            <w:r w:rsidR="00B57F99">
              <w:rPr>
                <w:rFonts w:ascii="Arial" w:hAnsi="Arial" w:cs="Arial"/>
                <w:b w:val="0"/>
                <w:sz w:val="22"/>
              </w:rPr>
              <w:t>:</w:t>
            </w:r>
            <w:r>
              <w:rPr>
                <w:rFonts w:ascii="Arial" w:hAnsi="Arial" w:cs="Arial"/>
                <w:b w:val="0"/>
                <w:sz w:val="22"/>
              </w:rPr>
              <w:t xml:space="preserve"> </w:t>
            </w:r>
            <w:proofErr w:type="spellStart"/>
            <w:r w:rsidR="00506B21">
              <w:rPr>
                <w:rFonts w:ascii="Arial" w:hAnsi="Arial" w:cs="Arial"/>
                <w:b w:val="0"/>
                <w:sz w:val="22"/>
              </w:rPr>
              <w:t>Claveria</w:t>
            </w:r>
            <w:proofErr w:type="spellEnd"/>
            <w:r w:rsidR="00506B21">
              <w:rPr>
                <w:rFonts w:ascii="Arial" w:hAnsi="Arial" w:cs="Arial"/>
                <w:b w:val="0"/>
                <w:sz w:val="22"/>
              </w:rPr>
              <w:t>, Masbate</w:t>
            </w:r>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506B21" w:rsidRDefault="00B57F99" w:rsidP="00506B21">
            <w:pPr>
              <w:pStyle w:val="Title"/>
              <w:jc w:val="both"/>
              <w:rPr>
                <w:rFonts w:ascii="Arial" w:hAnsi="Arial" w:cs="Arial"/>
                <w:b w:val="0"/>
                <w:sz w:val="22"/>
              </w:rPr>
            </w:pPr>
            <w:r>
              <w:rPr>
                <w:rFonts w:ascii="Arial" w:hAnsi="Arial" w:cs="Arial"/>
                <w:b w:val="0"/>
                <w:sz w:val="22"/>
              </w:rPr>
              <w:t>Project Description: The project</w:t>
            </w:r>
            <w:r w:rsidR="00C22C77">
              <w:rPr>
                <w:rFonts w:ascii="Arial" w:hAnsi="Arial" w:cs="Arial"/>
                <w:b w:val="0"/>
                <w:sz w:val="22"/>
              </w:rPr>
              <w:t xml:space="preserve"> </w:t>
            </w:r>
            <w:r>
              <w:rPr>
                <w:rFonts w:ascii="Arial" w:hAnsi="Arial" w:cs="Arial"/>
                <w:b w:val="0"/>
                <w:sz w:val="22"/>
              </w:rPr>
              <w:t xml:space="preserve">involves the </w:t>
            </w:r>
            <w:r w:rsidR="00BF36FE">
              <w:rPr>
                <w:rFonts w:ascii="Arial" w:hAnsi="Arial" w:cs="Arial"/>
                <w:b w:val="0"/>
                <w:sz w:val="22"/>
              </w:rPr>
              <w:t>repair of</w:t>
            </w:r>
            <w:r w:rsidR="00C22C77">
              <w:rPr>
                <w:rFonts w:ascii="Arial" w:hAnsi="Arial" w:cs="Arial"/>
                <w:b w:val="0"/>
                <w:sz w:val="22"/>
              </w:rPr>
              <w:t xml:space="preserve"> </w:t>
            </w:r>
            <w:r w:rsidR="00506B21">
              <w:rPr>
                <w:rFonts w:ascii="Arial" w:hAnsi="Arial" w:cs="Arial"/>
                <w:b w:val="0"/>
                <w:sz w:val="22"/>
              </w:rPr>
              <w:t xml:space="preserve">back-up area and Passenger </w:t>
            </w:r>
          </w:p>
          <w:p w:rsidR="00B57F99" w:rsidRDefault="00506B21" w:rsidP="00506B21">
            <w:pPr>
              <w:pStyle w:val="Title"/>
              <w:jc w:val="both"/>
              <w:rPr>
                <w:rFonts w:ascii="Arial" w:hAnsi="Arial" w:cs="Arial"/>
                <w:b w:val="0"/>
                <w:sz w:val="22"/>
              </w:rPr>
            </w:pPr>
            <w:r>
              <w:rPr>
                <w:rFonts w:ascii="Arial" w:hAnsi="Arial" w:cs="Arial"/>
                <w:b w:val="0"/>
                <w:sz w:val="22"/>
              </w:rPr>
              <w:t xml:space="preserve">                               </w:t>
            </w:r>
            <w:proofErr w:type="gramStart"/>
            <w:r>
              <w:rPr>
                <w:rFonts w:ascii="Arial" w:hAnsi="Arial" w:cs="Arial"/>
                <w:b w:val="0"/>
                <w:sz w:val="22"/>
              </w:rPr>
              <w:t xml:space="preserve">Terminal Building at the Port of </w:t>
            </w:r>
            <w:proofErr w:type="spellStart"/>
            <w:r>
              <w:rPr>
                <w:rFonts w:ascii="Arial" w:hAnsi="Arial" w:cs="Arial"/>
                <w:b w:val="0"/>
                <w:sz w:val="22"/>
              </w:rPr>
              <w:t>Claveria</w:t>
            </w:r>
            <w:proofErr w:type="spellEnd"/>
            <w:r>
              <w:rPr>
                <w:rFonts w:ascii="Arial" w:hAnsi="Arial" w:cs="Arial"/>
                <w:b w:val="0"/>
                <w:sz w:val="22"/>
              </w:rPr>
              <w:t>, Masbate.</w:t>
            </w:r>
            <w:proofErr w:type="gramEnd"/>
            <w:r w:rsidR="00CA239B">
              <w:rPr>
                <w:rFonts w:ascii="Arial" w:hAnsi="Arial" w:cs="Arial"/>
                <w:b w:val="0"/>
                <w:sz w:val="22"/>
              </w:rPr>
              <w:t xml:space="preserve"> </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V.</w:t>
            </w:r>
          </w:p>
          <w:p w:rsidR="00F5775A" w:rsidRDefault="00F5775A">
            <w:pPr>
              <w:pStyle w:val="Title"/>
              <w:jc w:val="both"/>
              <w:rPr>
                <w:rFonts w:ascii="Arial" w:hAnsi="Arial" w:cs="Arial"/>
                <w:b w:val="0"/>
                <w:sz w:val="22"/>
              </w:rPr>
            </w:pPr>
          </w:p>
          <w:p w:rsidR="00BF36FE" w:rsidRDefault="00BF36FE">
            <w:pPr>
              <w:pStyle w:val="Title"/>
              <w:jc w:val="both"/>
              <w:rPr>
                <w:rFonts w:ascii="Arial" w:hAnsi="Arial" w:cs="Arial"/>
                <w:b w:val="0"/>
                <w:sz w:val="22"/>
              </w:rPr>
            </w:pPr>
          </w:p>
          <w:p w:rsidR="00506B21" w:rsidRDefault="00506B21">
            <w:pPr>
              <w:pStyle w:val="Title"/>
              <w:jc w:val="both"/>
              <w:rPr>
                <w:rFonts w:ascii="Arial" w:hAnsi="Arial" w:cs="Arial"/>
                <w:b w:val="0"/>
                <w:sz w:val="22"/>
              </w:rPr>
            </w:pPr>
          </w:p>
          <w:p w:rsidR="00506B21" w:rsidRDefault="00506B21">
            <w:pPr>
              <w:pStyle w:val="Title"/>
              <w:jc w:val="both"/>
              <w:rPr>
                <w:rFonts w:ascii="Arial" w:hAnsi="Arial" w:cs="Arial"/>
                <w:b w:val="0"/>
                <w:sz w:val="22"/>
              </w:rPr>
            </w:pPr>
          </w:p>
          <w:p w:rsidR="00BF36FE" w:rsidRDefault="00BF36FE">
            <w:pPr>
              <w:pStyle w:val="Title"/>
              <w:jc w:val="both"/>
              <w:rPr>
                <w:rFonts w:ascii="Arial" w:hAnsi="Arial" w:cs="Arial"/>
                <w:b w:val="0"/>
                <w:sz w:val="22"/>
              </w:rPr>
            </w:pPr>
            <w:proofErr w:type="gramStart"/>
            <w:r>
              <w:rPr>
                <w:rFonts w:ascii="Arial" w:hAnsi="Arial" w:cs="Arial"/>
                <w:b w:val="0"/>
                <w:sz w:val="22"/>
              </w:rPr>
              <w:t>VI</w:t>
            </w:r>
            <w:r w:rsidR="00506B21">
              <w:rPr>
                <w:rFonts w:ascii="Arial" w:hAnsi="Arial" w:cs="Arial"/>
                <w:b w:val="0"/>
                <w:sz w:val="22"/>
              </w:rPr>
              <w:t>.</w:t>
            </w:r>
            <w:proofErr w:type="gramEnd"/>
            <w:r w:rsidR="00506B21">
              <w:rPr>
                <w:rFonts w:ascii="Arial" w:hAnsi="Arial" w:cs="Arial"/>
                <w:b w:val="0"/>
                <w:sz w:val="22"/>
              </w:rPr>
              <w:t xml:space="preserve">     </w:t>
            </w:r>
          </w:p>
        </w:tc>
        <w:tc>
          <w:tcPr>
            <w:tcW w:w="8968" w:type="dxa"/>
            <w:hideMark/>
          </w:tcPr>
          <w:p w:rsidR="00380345" w:rsidRDefault="00B57F99" w:rsidP="00506B21">
            <w:pPr>
              <w:pStyle w:val="Title"/>
              <w:jc w:val="both"/>
              <w:rPr>
                <w:rFonts w:ascii="Arial" w:hAnsi="Arial" w:cs="Arial"/>
                <w:b w:val="0"/>
                <w:sz w:val="22"/>
              </w:rPr>
            </w:pPr>
            <w:r>
              <w:rPr>
                <w:rFonts w:ascii="Arial" w:hAnsi="Arial" w:cs="Arial"/>
                <w:b w:val="0"/>
                <w:sz w:val="22"/>
              </w:rPr>
              <w:t>Equipment Required:</w:t>
            </w:r>
            <w:r w:rsidR="00506B21">
              <w:rPr>
                <w:rFonts w:ascii="Arial" w:hAnsi="Arial" w:cs="Arial"/>
                <w:b w:val="0"/>
                <w:sz w:val="22"/>
              </w:rPr>
              <w:t xml:space="preserve"> Back Hoe</w:t>
            </w:r>
            <w:r w:rsidR="00380345">
              <w:rPr>
                <w:rFonts w:ascii="Arial" w:hAnsi="Arial" w:cs="Arial"/>
                <w:b w:val="0"/>
                <w:sz w:val="22"/>
              </w:rPr>
              <w:t xml:space="preserve"> with Breaker</w:t>
            </w:r>
            <w:r w:rsidR="00506B21">
              <w:rPr>
                <w:rFonts w:ascii="Arial" w:hAnsi="Arial" w:cs="Arial"/>
                <w:b w:val="0"/>
                <w:sz w:val="22"/>
              </w:rPr>
              <w:t>, Crawler Crane, Dump Truck, Truck</w:t>
            </w:r>
          </w:p>
          <w:p w:rsidR="00380345" w:rsidRDefault="00380345" w:rsidP="00506B21">
            <w:pPr>
              <w:pStyle w:val="Title"/>
              <w:jc w:val="both"/>
              <w:rPr>
                <w:rFonts w:ascii="Arial" w:hAnsi="Arial" w:cs="Arial"/>
                <w:b w:val="0"/>
                <w:sz w:val="22"/>
              </w:rPr>
            </w:pPr>
            <w:r>
              <w:rPr>
                <w:rFonts w:ascii="Arial" w:hAnsi="Arial" w:cs="Arial"/>
                <w:b w:val="0"/>
                <w:sz w:val="22"/>
              </w:rPr>
              <w:t xml:space="preserve">                                 </w:t>
            </w:r>
            <w:r w:rsidR="00506B21">
              <w:rPr>
                <w:rFonts w:ascii="Arial" w:hAnsi="Arial" w:cs="Arial"/>
                <w:b w:val="0"/>
                <w:sz w:val="22"/>
              </w:rPr>
              <w:t xml:space="preserve"> Mounted Crane,</w:t>
            </w:r>
            <w:r>
              <w:rPr>
                <w:rFonts w:ascii="Arial" w:hAnsi="Arial" w:cs="Arial"/>
                <w:b w:val="0"/>
                <w:sz w:val="22"/>
              </w:rPr>
              <w:t xml:space="preserve"> </w:t>
            </w:r>
            <w:r w:rsidR="00506B21">
              <w:rPr>
                <w:rFonts w:ascii="Arial" w:hAnsi="Arial" w:cs="Arial"/>
                <w:b w:val="0"/>
                <w:sz w:val="22"/>
              </w:rPr>
              <w:t>One-Bagger Concrete Mixer, Concrete Vibrator,</w:t>
            </w:r>
          </w:p>
          <w:p w:rsidR="00380345" w:rsidRDefault="00380345" w:rsidP="00506B21">
            <w:pPr>
              <w:pStyle w:val="Title"/>
              <w:jc w:val="both"/>
              <w:rPr>
                <w:rFonts w:ascii="Arial" w:hAnsi="Arial" w:cs="Arial"/>
                <w:b w:val="0"/>
                <w:sz w:val="22"/>
              </w:rPr>
            </w:pPr>
            <w:r>
              <w:rPr>
                <w:rFonts w:ascii="Arial" w:hAnsi="Arial" w:cs="Arial"/>
                <w:b w:val="0"/>
                <w:sz w:val="22"/>
              </w:rPr>
              <w:t xml:space="preserve">                                 </w:t>
            </w:r>
            <w:r w:rsidR="00506B21">
              <w:rPr>
                <w:rFonts w:ascii="Arial" w:hAnsi="Arial" w:cs="Arial"/>
                <w:b w:val="0"/>
                <w:sz w:val="22"/>
              </w:rPr>
              <w:t xml:space="preserve"> Water Truck, Bar</w:t>
            </w:r>
            <w:r>
              <w:rPr>
                <w:rFonts w:ascii="Arial" w:hAnsi="Arial" w:cs="Arial"/>
                <w:b w:val="0"/>
                <w:sz w:val="22"/>
              </w:rPr>
              <w:t xml:space="preserve"> </w:t>
            </w:r>
            <w:r w:rsidR="00506B21">
              <w:rPr>
                <w:rFonts w:ascii="Arial" w:hAnsi="Arial" w:cs="Arial"/>
                <w:b w:val="0"/>
                <w:sz w:val="22"/>
              </w:rPr>
              <w:t>Cutter, Bar Bender, Wheel Loader, Road Roller</w:t>
            </w:r>
          </w:p>
          <w:p w:rsidR="00380345" w:rsidRDefault="00380345" w:rsidP="00506B21">
            <w:pPr>
              <w:pStyle w:val="Title"/>
              <w:jc w:val="both"/>
              <w:rPr>
                <w:rFonts w:ascii="Arial" w:hAnsi="Arial" w:cs="Arial"/>
                <w:b w:val="0"/>
                <w:sz w:val="22"/>
              </w:rPr>
            </w:pPr>
            <w:r>
              <w:rPr>
                <w:rFonts w:ascii="Arial" w:hAnsi="Arial" w:cs="Arial"/>
                <w:b w:val="0"/>
                <w:sz w:val="22"/>
              </w:rPr>
              <w:t xml:space="preserve">                                 </w:t>
            </w:r>
            <w:r w:rsidR="00506B21">
              <w:rPr>
                <w:rFonts w:ascii="Arial" w:hAnsi="Arial" w:cs="Arial"/>
                <w:b w:val="0"/>
                <w:sz w:val="22"/>
              </w:rPr>
              <w:t xml:space="preserve"> (10T Vibratory),</w:t>
            </w:r>
            <w:r>
              <w:rPr>
                <w:rFonts w:ascii="Arial" w:hAnsi="Arial" w:cs="Arial"/>
                <w:b w:val="0"/>
                <w:sz w:val="22"/>
              </w:rPr>
              <w:t xml:space="preserve"> </w:t>
            </w:r>
            <w:r w:rsidR="00506B21">
              <w:rPr>
                <w:rFonts w:ascii="Arial" w:hAnsi="Arial" w:cs="Arial"/>
                <w:b w:val="0"/>
                <w:sz w:val="22"/>
              </w:rPr>
              <w:t xml:space="preserve">Road Grader, Concrete </w:t>
            </w:r>
            <w:proofErr w:type="spellStart"/>
            <w:r w:rsidR="00506B21">
              <w:rPr>
                <w:rFonts w:ascii="Arial" w:hAnsi="Arial" w:cs="Arial"/>
                <w:b w:val="0"/>
                <w:sz w:val="22"/>
              </w:rPr>
              <w:t>Screeder</w:t>
            </w:r>
            <w:proofErr w:type="spellEnd"/>
            <w:r w:rsidR="00506B21">
              <w:rPr>
                <w:rFonts w:ascii="Arial" w:hAnsi="Arial" w:cs="Arial"/>
                <w:b w:val="0"/>
                <w:sz w:val="22"/>
              </w:rPr>
              <w:t>, Concrete Cutter,</w:t>
            </w:r>
          </w:p>
          <w:p w:rsidR="00506B21" w:rsidRDefault="00380345" w:rsidP="00506B21">
            <w:pPr>
              <w:pStyle w:val="Title"/>
              <w:jc w:val="both"/>
              <w:rPr>
                <w:rFonts w:ascii="Arial" w:hAnsi="Arial" w:cs="Arial"/>
                <w:b w:val="0"/>
                <w:sz w:val="22"/>
              </w:rPr>
            </w:pPr>
            <w:r>
              <w:rPr>
                <w:rFonts w:ascii="Arial" w:hAnsi="Arial" w:cs="Arial"/>
                <w:b w:val="0"/>
                <w:sz w:val="22"/>
              </w:rPr>
              <w:t xml:space="preserve">                                 </w:t>
            </w:r>
            <w:r w:rsidR="00506B21">
              <w:rPr>
                <w:rFonts w:ascii="Arial" w:hAnsi="Arial" w:cs="Arial"/>
                <w:b w:val="0"/>
                <w:sz w:val="22"/>
              </w:rPr>
              <w:t xml:space="preserve"> Stake Truck,</w:t>
            </w:r>
            <w:r>
              <w:rPr>
                <w:rFonts w:ascii="Arial" w:hAnsi="Arial" w:cs="Arial"/>
                <w:b w:val="0"/>
                <w:sz w:val="22"/>
              </w:rPr>
              <w:t xml:space="preserve"> </w:t>
            </w:r>
            <w:bookmarkStart w:id="0" w:name="_GoBack"/>
            <w:bookmarkEnd w:id="0"/>
            <w:r w:rsidR="00506B21">
              <w:rPr>
                <w:rFonts w:ascii="Arial" w:hAnsi="Arial" w:cs="Arial"/>
                <w:b w:val="0"/>
                <w:sz w:val="22"/>
              </w:rPr>
              <w:t>Welding Machine, and Generator Set.</w:t>
            </w:r>
          </w:p>
          <w:p w:rsidR="00F5775A" w:rsidRDefault="00BF36FE" w:rsidP="00506B21">
            <w:pPr>
              <w:pStyle w:val="Title"/>
              <w:jc w:val="both"/>
              <w:rPr>
                <w:rFonts w:ascii="Arial" w:hAnsi="Arial" w:cs="Arial"/>
                <w:b w:val="0"/>
                <w:sz w:val="22"/>
              </w:rPr>
            </w:pPr>
            <w:r>
              <w:rPr>
                <w:rFonts w:ascii="Arial" w:hAnsi="Arial" w:cs="Arial"/>
                <w:b w:val="0"/>
                <w:sz w:val="22"/>
              </w:rPr>
              <w:t xml:space="preserve">Posting </w:t>
            </w:r>
            <w:r w:rsidR="00CA239B">
              <w:rPr>
                <w:rFonts w:ascii="Arial" w:hAnsi="Arial" w:cs="Arial"/>
                <w:b w:val="0"/>
                <w:sz w:val="22"/>
              </w:rPr>
              <w:t xml:space="preserve">of Invitation to </w:t>
            </w:r>
            <w:proofErr w:type="gramStart"/>
            <w:r w:rsidR="00CA239B">
              <w:rPr>
                <w:rFonts w:ascii="Arial" w:hAnsi="Arial" w:cs="Arial"/>
                <w:b w:val="0"/>
                <w:sz w:val="22"/>
              </w:rPr>
              <w:t>Bid :</w:t>
            </w:r>
            <w:proofErr w:type="gramEnd"/>
            <w:r w:rsidR="00CA239B">
              <w:rPr>
                <w:rFonts w:ascii="Arial" w:hAnsi="Arial" w:cs="Arial"/>
                <w:b w:val="0"/>
                <w:sz w:val="22"/>
              </w:rPr>
              <w:t xml:space="preserve"> August 1</w:t>
            </w:r>
            <w:r w:rsidR="00506B21">
              <w:rPr>
                <w:rFonts w:ascii="Arial" w:hAnsi="Arial" w:cs="Arial"/>
                <w:b w:val="0"/>
                <w:sz w:val="22"/>
              </w:rPr>
              <w:t>8 - 25</w:t>
            </w:r>
            <w:r w:rsidR="00CA239B">
              <w:rPr>
                <w:rFonts w:ascii="Arial" w:hAnsi="Arial" w:cs="Arial"/>
                <w:b w:val="0"/>
                <w:sz w:val="22"/>
              </w:rPr>
              <w:t>, 2017</w:t>
            </w:r>
          </w:p>
        </w:tc>
      </w:tr>
      <w:tr w:rsidR="00B57F99" w:rsidTr="00D3749F">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V</w:t>
            </w:r>
            <w:r w:rsidR="00A423E6">
              <w:rPr>
                <w:rFonts w:ascii="Arial" w:hAnsi="Arial" w:cs="Arial"/>
                <w:b w:val="0"/>
                <w:sz w:val="22"/>
              </w:rPr>
              <w:t>I</w:t>
            </w:r>
            <w:r w:rsidR="00F5775A">
              <w:rPr>
                <w:rFonts w:ascii="Arial" w:hAnsi="Arial" w:cs="Arial"/>
                <w:b w:val="0"/>
                <w:sz w:val="22"/>
              </w:rPr>
              <w:t>I</w:t>
            </w:r>
            <w:r>
              <w:rPr>
                <w:rFonts w:ascii="Arial" w:hAnsi="Arial" w:cs="Arial"/>
                <w:b w:val="0"/>
                <w:sz w:val="22"/>
              </w:rPr>
              <w:t>.</w:t>
            </w:r>
            <w:proofErr w:type="gramEnd"/>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506B21">
              <w:rPr>
                <w:rFonts w:ascii="Arial" w:hAnsi="Arial" w:cs="Arial"/>
                <w:b w:val="0"/>
                <w:sz w:val="22"/>
              </w:rPr>
              <w:t>August 25</w:t>
            </w:r>
            <w:r w:rsidR="00CA239B">
              <w:rPr>
                <w:rFonts w:ascii="Arial" w:hAnsi="Arial" w:cs="Arial"/>
                <w:b w:val="0"/>
                <w:sz w:val="22"/>
              </w:rPr>
              <w:t xml:space="preserve">, 2017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sidR="00C22C77">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A423E6">
              <w:rPr>
                <w:rFonts w:ascii="Arial" w:hAnsi="Arial" w:cs="Arial"/>
                <w:b w:val="0"/>
                <w:sz w:val="22"/>
              </w:rPr>
              <w:t>I</w:t>
            </w:r>
            <w:r w:rsidR="00F5775A">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506B21" w:rsidRDefault="00C22C77" w:rsidP="00506B21">
            <w:pPr>
              <w:pStyle w:val="Title"/>
              <w:jc w:val="both"/>
              <w:rPr>
                <w:rFonts w:ascii="Arial" w:hAnsi="Arial" w:cs="Arial"/>
                <w:b w:val="0"/>
                <w:sz w:val="22"/>
              </w:rPr>
            </w:pPr>
            <w:r>
              <w:rPr>
                <w:rFonts w:ascii="Arial" w:hAnsi="Arial" w:cs="Arial"/>
                <w:b w:val="0"/>
                <w:sz w:val="22"/>
              </w:rPr>
              <w:t xml:space="preserve">                                                    </w:t>
            </w:r>
            <w:r w:rsidR="00506B21">
              <w:rPr>
                <w:rFonts w:ascii="Arial" w:hAnsi="Arial" w:cs="Arial"/>
                <w:b w:val="0"/>
                <w:sz w:val="22"/>
              </w:rPr>
              <w:t xml:space="preserve">September 6, 2017 </w:t>
            </w:r>
            <w:r w:rsidR="00E40F3E">
              <w:rPr>
                <w:rFonts w:ascii="Arial" w:hAnsi="Arial" w:cs="Arial"/>
                <w:b w:val="0"/>
                <w:sz w:val="22"/>
              </w:rPr>
              <w:t>at the Conference Room of PMO</w:t>
            </w:r>
          </w:p>
          <w:p w:rsidR="00B57F99" w:rsidRDefault="00506B21" w:rsidP="00506B21">
            <w:pPr>
              <w:pStyle w:val="Title"/>
              <w:jc w:val="both"/>
              <w:rPr>
                <w:rFonts w:ascii="Arial" w:hAnsi="Arial" w:cs="Arial"/>
                <w:b w:val="0"/>
                <w:sz w:val="22"/>
              </w:rPr>
            </w:pPr>
            <w:r>
              <w:rPr>
                <w:rFonts w:ascii="Arial" w:hAnsi="Arial" w:cs="Arial"/>
                <w:b w:val="0"/>
                <w:sz w:val="22"/>
              </w:rPr>
              <w:t xml:space="preserve">                                                    </w:t>
            </w:r>
            <w:proofErr w:type="gramStart"/>
            <w:r w:rsidR="00E40F3E">
              <w:rPr>
                <w:rFonts w:ascii="Arial" w:hAnsi="Arial" w:cs="Arial"/>
                <w:b w:val="0"/>
                <w:sz w:val="22"/>
              </w:rPr>
              <w:t>Bicol.</w:t>
            </w:r>
            <w:proofErr w:type="gramEnd"/>
          </w:p>
        </w:tc>
      </w:tr>
      <w:tr w:rsidR="00B57F99" w:rsidTr="00B57F99">
        <w:tc>
          <w:tcPr>
            <w:tcW w:w="608" w:type="dxa"/>
            <w:hideMark/>
          </w:tcPr>
          <w:p w:rsidR="00B57F99" w:rsidRDefault="00F5775A">
            <w:pPr>
              <w:pStyle w:val="Title"/>
              <w:jc w:val="both"/>
              <w:rPr>
                <w:rFonts w:ascii="Arial" w:hAnsi="Arial" w:cs="Arial"/>
                <w:b w:val="0"/>
                <w:sz w:val="22"/>
              </w:rPr>
            </w:pPr>
            <w:proofErr w:type="gramStart"/>
            <w:r>
              <w:rPr>
                <w:rFonts w:ascii="Arial" w:hAnsi="Arial" w:cs="Arial"/>
                <w:b w:val="0"/>
                <w:sz w:val="22"/>
              </w:rPr>
              <w:t>IX</w:t>
            </w:r>
            <w:r w:rsidR="00B57F99">
              <w:rPr>
                <w:rFonts w:ascii="Arial" w:hAnsi="Arial" w:cs="Arial"/>
                <w:b w:val="0"/>
                <w:sz w:val="22"/>
              </w:rPr>
              <w:t>.</w:t>
            </w:r>
            <w:proofErr w:type="gramEnd"/>
          </w:p>
          <w:p w:rsidR="00B57F99" w:rsidRDefault="00B57F99">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506B21">
              <w:rPr>
                <w:rFonts w:cs="Arial"/>
                <w:b w:val="0"/>
                <w:sz w:val="22"/>
              </w:rPr>
              <w:t>29,025,371.00</w:t>
            </w:r>
          </w:p>
          <w:p w:rsidR="00B57F99" w:rsidRDefault="00B57F99">
            <w:pPr>
              <w:pStyle w:val="Title"/>
              <w:jc w:val="both"/>
              <w:rPr>
                <w:rFonts w:ascii="Arial" w:hAnsi="Arial" w:cs="Arial"/>
                <w:b w:val="0"/>
                <w:sz w:val="22"/>
              </w:rPr>
            </w:pPr>
            <w:r>
              <w:rPr>
                <w:rFonts w:ascii="Arial" w:hAnsi="Arial" w:cs="Arial"/>
                <w:b w:val="0"/>
                <w:sz w:val="22"/>
              </w:rPr>
              <w:t>Source of Funds: Corporate Funds</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X</w:t>
            </w:r>
            <w:r w:rsidR="00F5775A">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506B21">
            <w:pPr>
              <w:pStyle w:val="Title"/>
              <w:jc w:val="both"/>
              <w:rPr>
                <w:rFonts w:ascii="Arial" w:hAnsi="Arial" w:cs="Arial"/>
                <w:b w:val="0"/>
                <w:sz w:val="22"/>
              </w:rPr>
            </w:pPr>
            <w:r>
              <w:rPr>
                <w:rFonts w:ascii="Arial" w:hAnsi="Arial" w:cs="Arial"/>
                <w:b w:val="0"/>
                <w:sz w:val="22"/>
              </w:rPr>
              <w:t xml:space="preserve">Contract Duration: </w:t>
            </w:r>
            <w:r w:rsidR="00506B21">
              <w:rPr>
                <w:rFonts w:ascii="Arial" w:hAnsi="Arial" w:cs="Arial"/>
                <w:b w:val="0"/>
                <w:sz w:val="22"/>
              </w:rPr>
              <w:t>210</w:t>
            </w:r>
            <w:r w:rsidR="007F4866">
              <w:rPr>
                <w:rFonts w:ascii="Arial" w:hAnsi="Arial" w:cs="Arial"/>
                <w:b w:val="0"/>
                <w:sz w:val="22"/>
              </w:rPr>
              <w:t xml:space="preserve"> </w:t>
            </w:r>
            <w:r>
              <w:rPr>
                <w:rFonts w:ascii="Arial" w:hAnsi="Arial" w:cs="Arial"/>
                <w:b w:val="0"/>
                <w:sz w:val="22"/>
              </w:rPr>
              <w:t>calendar days</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XI</w:t>
            </w:r>
            <w:r w:rsidR="00F5775A">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7F4866">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506B21">
              <w:rPr>
                <w:rFonts w:cs="Arial"/>
                <w:b w:val="0"/>
                <w:sz w:val="22"/>
              </w:rPr>
              <w:t>17,135</w:t>
            </w:r>
            <w:r w:rsidR="007F4866">
              <w:rPr>
                <w:rFonts w:cs="Arial"/>
                <w:b w:val="0"/>
                <w:sz w:val="22"/>
              </w:rPr>
              <w:t>.00 (non-</w:t>
            </w:r>
            <w:r w:rsidR="00F5775A">
              <w:rPr>
                <w:rFonts w:cs="Arial"/>
                <w:b w:val="0"/>
                <w:sz w:val="22"/>
              </w:rPr>
              <w:t>refun</w:t>
            </w:r>
            <w:r>
              <w:rPr>
                <w:rFonts w:ascii="Arial" w:hAnsi="Arial" w:cs="Arial"/>
                <w:b w:val="0"/>
                <w:sz w:val="22"/>
              </w:rPr>
              <w:t>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C22C77">
        <w:rPr>
          <w:rFonts w:ascii="Arial" w:hAnsi="Arial" w:cs="Arial"/>
          <w:b w:val="0"/>
          <w:sz w:val="22"/>
          <w:szCs w:val="22"/>
        </w:rPr>
        <w:t xml:space="preserve"> </w:t>
      </w:r>
      <w:r>
        <w:rPr>
          <w:rFonts w:ascii="Arial" w:hAnsi="Arial" w:cs="Arial"/>
          <w:b w:val="0"/>
          <w:sz w:val="22"/>
          <w:szCs w:val="22"/>
        </w:rPr>
        <w:t xml:space="preserve">(at least </w:t>
      </w:r>
      <w:r w:rsidR="00634B2C">
        <w:rPr>
          <w:rFonts w:ascii="Arial" w:hAnsi="Arial" w:cs="Arial"/>
          <w:b w:val="0"/>
          <w:sz w:val="22"/>
          <w:szCs w:val="22"/>
        </w:rPr>
        <w:t xml:space="preserve">Medium A </w:t>
      </w:r>
      <w:r w:rsidR="00BE2AE0">
        <w:rPr>
          <w:rFonts w:ascii="Arial" w:hAnsi="Arial" w:cs="Arial"/>
          <w:b w:val="0"/>
          <w:sz w:val="22"/>
          <w:szCs w:val="22"/>
        </w:rPr>
        <w:t>for</w:t>
      </w:r>
      <w:r w:rsidR="007F4866">
        <w:rPr>
          <w:rFonts w:ascii="Arial" w:hAnsi="Arial" w:cs="Arial"/>
          <w:b w:val="0"/>
          <w:sz w:val="22"/>
          <w:szCs w:val="22"/>
        </w:rPr>
        <w:t xml:space="preserve"> </w:t>
      </w:r>
      <w:r w:rsidR="005C0E94">
        <w:rPr>
          <w:rFonts w:ascii="Arial" w:hAnsi="Arial" w:cs="Arial"/>
          <w:b w:val="0"/>
          <w:sz w:val="22"/>
          <w:szCs w:val="22"/>
        </w:rPr>
        <w:t>Port, Harbor, and Offshore Engineering</w:t>
      </w:r>
      <w:r w:rsidR="00BE2AE0">
        <w:rPr>
          <w:rFonts w:ascii="Arial" w:hAnsi="Arial" w:cs="Arial"/>
          <w:b w:val="0"/>
          <w:sz w:val="22"/>
          <w:szCs w:val="22"/>
        </w:rPr>
        <w:t>)</w:t>
      </w:r>
      <w:r>
        <w:rPr>
          <w:rFonts w:ascii="Arial" w:hAnsi="Arial" w:cs="Arial"/>
          <w:b w:val="0"/>
          <w:sz w:val="22"/>
          <w:szCs w:val="22"/>
        </w:rPr>
        <w:t xml:space="preserve">; </w:t>
      </w:r>
      <w:r w:rsidR="00E40F3E">
        <w:rPr>
          <w:rFonts w:ascii="Arial" w:hAnsi="Arial" w:cs="Arial"/>
          <w:b w:val="0"/>
          <w:sz w:val="22"/>
          <w:szCs w:val="22"/>
        </w:rPr>
        <w:t xml:space="preserve">and </w:t>
      </w:r>
      <w:r>
        <w:rPr>
          <w:rFonts w:ascii="Arial" w:hAnsi="Arial" w:cs="Arial"/>
          <w:b w:val="0"/>
          <w:sz w:val="22"/>
          <w:szCs w:val="22"/>
        </w:rPr>
        <w:t>have key personnel and equipment available for the prosecution of the contract</w:t>
      </w:r>
      <w:r w:rsidR="00E40F3E">
        <w:rPr>
          <w:rFonts w:ascii="Arial" w:hAnsi="Arial" w:cs="Arial"/>
          <w:b w:val="0"/>
          <w:sz w:val="22"/>
          <w:szCs w:val="22"/>
        </w:rPr>
        <w:t>.</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C22C77">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B57F99" w:rsidRDefault="002F0DAB" w:rsidP="00B57F99">
      <w:pPr>
        <w:rPr>
          <w:rFonts w:ascii="Arial" w:hAnsi="Arial" w:cs="Arial"/>
          <w:sz w:val="22"/>
          <w:szCs w:val="22"/>
        </w:rPr>
      </w:pPr>
      <w:r>
        <w:rPr>
          <w:rFonts w:ascii="Arial" w:hAnsi="Arial" w:cs="Arial"/>
          <w:sz w:val="22"/>
          <w:szCs w:val="22"/>
        </w:rPr>
        <w:t>Chairperson</w:t>
      </w:r>
    </w:p>
    <w:p w:rsidR="00CD74E6" w:rsidRDefault="00CD74E6" w:rsidP="000440CA">
      <w:pPr>
        <w:tabs>
          <w:tab w:val="center" w:pos="4680"/>
          <w:tab w:val="left" w:pos="5785"/>
        </w:tabs>
        <w:rPr>
          <w:rFonts w:ascii="Arial" w:hAnsi="Arial" w:cs="Arial"/>
          <w:sz w:val="16"/>
          <w:szCs w:val="16"/>
        </w:rPr>
      </w:pPr>
    </w:p>
    <w:sectPr w:rsidR="00CD74E6" w:rsidSect="00B57F99">
      <w:pgSz w:w="12240" w:h="18720" w:code="9"/>
      <w:pgMar w:top="1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23" w:rsidRDefault="00613323" w:rsidP="00B9027B">
      <w:r>
        <w:separator/>
      </w:r>
    </w:p>
  </w:endnote>
  <w:endnote w:type="continuationSeparator" w:id="0">
    <w:p w:rsidR="00613323" w:rsidRDefault="00613323"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23" w:rsidRDefault="00613323" w:rsidP="00B9027B">
      <w:r>
        <w:separator/>
      </w:r>
    </w:p>
  </w:footnote>
  <w:footnote w:type="continuationSeparator" w:id="0">
    <w:p w:rsidR="00613323" w:rsidRDefault="00613323"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949C5"/>
    <w:rsid w:val="000A2CEC"/>
    <w:rsid w:val="000C3C00"/>
    <w:rsid w:val="000E0F6B"/>
    <w:rsid w:val="00106AD6"/>
    <w:rsid w:val="001533E0"/>
    <w:rsid w:val="0016219E"/>
    <w:rsid w:val="00162DB9"/>
    <w:rsid w:val="0016383D"/>
    <w:rsid w:val="001B682F"/>
    <w:rsid w:val="001B7123"/>
    <w:rsid w:val="001E19C1"/>
    <w:rsid w:val="001E541F"/>
    <w:rsid w:val="001F52FD"/>
    <w:rsid w:val="00204E49"/>
    <w:rsid w:val="00216EE1"/>
    <w:rsid w:val="00226AF3"/>
    <w:rsid w:val="00257265"/>
    <w:rsid w:val="00261D35"/>
    <w:rsid w:val="00263FF2"/>
    <w:rsid w:val="002A7ACA"/>
    <w:rsid w:val="002B282C"/>
    <w:rsid w:val="002B7595"/>
    <w:rsid w:val="002C6AB4"/>
    <w:rsid w:val="002D4164"/>
    <w:rsid w:val="002D6579"/>
    <w:rsid w:val="002F0DAB"/>
    <w:rsid w:val="002F2C17"/>
    <w:rsid w:val="00305DC6"/>
    <w:rsid w:val="00310B28"/>
    <w:rsid w:val="003145F3"/>
    <w:rsid w:val="0034538C"/>
    <w:rsid w:val="00352546"/>
    <w:rsid w:val="003647DF"/>
    <w:rsid w:val="00380345"/>
    <w:rsid w:val="00385A4A"/>
    <w:rsid w:val="00394BED"/>
    <w:rsid w:val="003B7D14"/>
    <w:rsid w:val="003C2A8D"/>
    <w:rsid w:val="003E4326"/>
    <w:rsid w:val="003F7B68"/>
    <w:rsid w:val="004338F8"/>
    <w:rsid w:val="0045288A"/>
    <w:rsid w:val="00472CE5"/>
    <w:rsid w:val="00476AC6"/>
    <w:rsid w:val="004A23F9"/>
    <w:rsid w:val="004B761B"/>
    <w:rsid w:val="004F2104"/>
    <w:rsid w:val="0050596B"/>
    <w:rsid w:val="00506B21"/>
    <w:rsid w:val="005136CD"/>
    <w:rsid w:val="00517531"/>
    <w:rsid w:val="00523C33"/>
    <w:rsid w:val="00562C96"/>
    <w:rsid w:val="0056535E"/>
    <w:rsid w:val="0059393F"/>
    <w:rsid w:val="005A5E45"/>
    <w:rsid w:val="005B1F6E"/>
    <w:rsid w:val="005C0E94"/>
    <w:rsid w:val="00605A3D"/>
    <w:rsid w:val="00611EA4"/>
    <w:rsid w:val="00613323"/>
    <w:rsid w:val="006167F2"/>
    <w:rsid w:val="00634A5C"/>
    <w:rsid w:val="00634B2C"/>
    <w:rsid w:val="006640C7"/>
    <w:rsid w:val="0067687E"/>
    <w:rsid w:val="00685791"/>
    <w:rsid w:val="00693863"/>
    <w:rsid w:val="006951F3"/>
    <w:rsid w:val="006A1659"/>
    <w:rsid w:val="006B330C"/>
    <w:rsid w:val="006F28CE"/>
    <w:rsid w:val="00710182"/>
    <w:rsid w:val="00724AE1"/>
    <w:rsid w:val="00745673"/>
    <w:rsid w:val="007546A7"/>
    <w:rsid w:val="00770D57"/>
    <w:rsid w:val="0077122C"/>
    <w:rsid w:val="00774151"/>
    <w:rsid w:val="007768A6"/>
    <w:rsid w:val="0079031B"/>
    <w:rsid w:val="007B03DF"/>
    <w:rsid w:val="007B58D3"/>
    <w:rsid w:val="007D27C1"/>
    <w:rsid w:val="007D7664"/>
    <w:rsid w:val="007F4866"/>
    <w:rsid w:val="007F59EF"/>
    <w:rsid w:val="0082102F"/>
    <w:rsid w:val="00835201"/>
    <w:rsid w:val="00857627"/>
    <w:rsid w:val="00861960"/>
    <w:rsid w:val="00861DE0"/>
    <w:rsid w:val="00871BBE"/>
    <w:rsid w:val="00884D9F"/>
    <w:rsid w:val="008C1913"/>
    <w:rsid w:val="008C4B75"/>
    <w:rsid w:val="008D2B1F"/>
    <w:rsid w:val="008E6DCA"/>
    <w:rsid w:val="00903CDE"/>
    <w:rsid w:val="0090717F"/>
    <w:rsid w:val="0092059D"/>
    <w:rsid w:val="00923118"/>
    <w:rsid w:val="00926782"/>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4B05"/>
    <w:rsid w:val="00A26149"/>
    <w:rsid w:val="00A30C9F"/>
    <w:rsid w:val="00A423E6"/>
    <w:rsid w:val="00A458A9"/>
    <w:rsid w:val="00A83474"/>
    <w:rsid w:val="00A9048B"/>
    <w:rsid w:val="00AB5F2B"/>
    <w:rsid w:val="00AB6696"/>
    <w:rsid w:val="00AC448B"/>
    <w:rsid w:val="00AD10FA"/>
    <w:rsid w:val="00AE212C"/>
    <w:rsid w:val="00B12059"/>
    <w:rsid w:val="00B1333A"/>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2AE0"/>
    <w:rsid w:val="00BE3E17"/>
    <w:rsid w:val="00BF36FE"/>
    <w:rsid w:val="00C02CB5"/>
    <w:rsid w:val="00C20DD8"/>
    <w:rsid w:val="00C22C77"/>
    <w:rsid w:val="00C24F7A"/>
    <w:rsid w:val="00C26BEB"/>
    <w:rsid w:val="00C3338B"/>
    <w:rsid w:val="00C45B92"/>
    <w:rsid w:val="00C53BD1"/>
    <w:rsid w:val="00C67B22"/>
    <w:rsid w:val="00C93814"/>
    <w:rsid w:val="00CA239B"/>
    <w:rsid w:val="00CA4C36"/>
    <w:rsid w:val="00CC4F8C"/>
    <w:rsid w:val="00CD3FD1"/>
    <w:rsid w:val="00CD74E6"/>
    <w:rsid w:val="00CE395C"/>
    <w:rsid w:val="00CF15FF"/>
    <w:rsid w:val="00CF4D5D"/>
    <w:rsid w:val="00D00BCA"/>
    <w:rsid w:val="00D10CFD"/>
    <w:rsid w:val="00D25D0A"/>
    <w:rsid w:val="00D3553F"/>
    <w:rsid w:val="00D3749F"/>
    <w:rsid w:val="00D844FE"/>
    <w:rsid w:val="00D964F1"/>
    <w:rsid w:val="00DD0C5A"/>
    <w:rsid w:val="00DF6D70"/>
    <w:rsid w:val="00E01B5A"/>
    <w:rsid w:val="00E03506"/>
    <w:rsid w:val="00E042F7"/>
    <w:rsid w:val="00E12DE1"/>
    <w:rsid w:val="00E343FF"/>
    <w:rsid w:val="00E40F3E"/>
    <w:rsid w:val="00E567D6"/>
    <w:rsid w:val="00E56BDB"/>
    <w:rsid w:val="00E57239"/>
    <w:rsid w:val="00EA11FE"/>
    <w:rsid w:val="00EA441A"/>
    <w:rsid w:val="00ED1A66"/>
    <w:rsid w:val="00EE3AB0"/>
    <w:rsid w:val="00EF0C88"/>
    <w:rsid w:val="00F01A49"/>
    <w:rsid w:val="00F04E21"/>
    <w:rsid w:val="00F2446F"/>
    <w:rsid w:val="00F32832"/>
    <w:rsid w:val="00F446B3"/>
    <w:rsid w:val="00F45660"/>
    <w:rsid w:val="00F5775A"/>
    <w:rsid w:val="00F662B4"/>
    <w:rsid w:val="00F77F6C"/>
    <w:rsid w:val="00F874CD"/>
    <w:rsid w:val="00FC0068"/>
    <w:rsid w:val="00FC54C3"/>
    <w:rsid w:val="00FE1ADC"/>
    <w:rsid w:val="00FE21E0"/>
    <w:rsid w:val="00FE39A3"/>
    <w:rsid w:val="00FE5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7</cp:revision>
  <cp:lastPrinted>2017-08-18T05:24:00Z</cp:lastPrinted>
  <dcterms:created xsi:type="dcterms:W3CDTF">2017-08-18T05:17:00Z</dcterms:created>
  <dcterms:modified xsi:type="dcterms:W3CDTF">2017-08-18T06:18:00Z</dcterms:modified>
</cp:coreProperties>
</file>